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2e74b5"/>
          <w:sz w:val="52"/>
          <w:szCs w:val="52"/>
          <w:rtl w:val="0"/>
        </w:rPr>
        <w:t xml:space="preserve">Przedmiotowy system oceniania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2e74b5"/>
          <w:sz w:val="52"/>
          <w:szCs w:val="52"/>
          <w:rtl w:val="0"/>
        </w:rPr>
        <w:t xml:space="preserve">TECHNIKA KLASA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informowanie ucznia o poziomie jego osiągnięć edukacyjnych i o postępach w tym zakresie,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wspomaganie ucznia w samodzielnym planowaniu swojego rozwoju,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motywowanie do dalszych postępów w nauce,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dostarczanie rodzicom i nauczycielom informacji o trudnościach w nauce oraz specjalnych uzdolnieniach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umożliwienie nauczycielom doskonalenia organizacji i metod pracy dydaktyczno-wychowawczej.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250"/>
        </w:tabs>
        <w:ind w:left="360" w:hanging="36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Kryteria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Oceniając osiągnięcia, należy zwrócić uwagę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rozumienie zjawisk technicznych,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umiejętność wnioskowania,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czytanie ze zrozumieniem instrukcji urządzeń i przykładów dokumentacji technicznej,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czytanie rysunków złożeniowych i wykonawczych,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umiejętność organizacji miejsca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właściwe wykorzystanie materiałów, narzędzi i urządzeń technicznych,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przestrzeganie zasad BHP,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dokładność i staranność wykonywania zadań.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250"/>
        </w:tabs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Ocenę osiągnięć ucznia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można sformułować z wykorzystaniem zaproponowanych kryteriów odnoszących się do sześciostopniowej skali ocen.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5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Stopień celujący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Stopień bardzo dobry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5"/>
        </w:numPr>
        <w:tabs>
          <w:tab w:val="left" w:leader="none" w:pos="250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Stopień dobry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tabs>
          <w:tab w:val="left" w:leader="none" w:pos="250"/>
        </w:tabs>
        <w:ind w:left="720" w:hanging="36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Stopień dostateczny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przeznaczony jest dla ucznia, który pracuje systematycznie, ale podczas realizowania działań technicznych w dużej mierze korzysta z pomocy innych osób, atreści nauczania opanował na poziomie niższym niż dostateczny.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5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Stopień dopuszczający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Stopień niedostateczny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Oceniając osiągnięcia uczniów, poza wiedzą i umiejętnościami należy wziąć pod uwagę: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aktywność podczas lekcji,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zaangażowanie w wykonywane zadania,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umiejętność pracy w grupie,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obowiązkowość i systematyczność,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udział w pracach na rzecz szkoły i ochrony środowiska naturalnego.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24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Metody sprawdzania osiągnięć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sprawdzian,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zadanie praktyczne,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zadanie domowe,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aktywność na lekcji,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odpowiedź ustną,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tabs>
          <w:tab w:val="left" w:leader="none" w:pos="245"/>
        </w:tabs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pracę pozalekcyjną (np. konkurs, projekt).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601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184" w:lineRule="auto"/>
      <w:ind w:left="20" w:firstLine="0"/>
      <w:rPr/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 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