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t xml:space="preserve">Katalog wymagań edukacyjnych na poszczególne oceny szkolne - </w:t>
      </w:r>
      <w:r>
        <w:rPr>
          <w:b/>
          <w:color w:val="F7941D"/>
          <w:sz w:val="32"/>
          <w:szCs w:val="32"/>
        </w:rPr>
        <w:t>informatyka</w:t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t>klasa 8</w:t>
      </w:r>
    </w:p>
    <w:p>
      <w:pPr>
        <w:pStyle w:val="Normal"/>
        <w:spacing w:lineRule="auto" w:line="240" w:before="0" w:after="0"/>
        <w:rPr>
          <w:b/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91"/>
        <w:gridCol w:w="1688"/>
        <w:gridCol w:w="3475"/>
        <w:gridCol w:w="1133"/>
        <w:gridCol w:w="7514"/>
      </w:tblGrid>
      <w:tr>
        <w:trPr>
          <w:trHeight w:val="1020" w:hRule="exact"/>
        </w:trPr>
        <w:tc>
          <w:tcPr>
            <w:tcW w:w="7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398" w:hRule="atLeast"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color="auto" w:fill="25408F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1. Lekcje z HTML-em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restart"/>
            <w:tcBorders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color w:val="231F20"/>
                <w:kern w:val="0"/>
                <w:sz w:val="20"/>
                <w:szCs w:val="22"/>
                <w:lang w:val="pl-PL" w:eastAsia="en-US" w:bidi="ar-SA"/>
              </w:rPr>
              <w:t>1.1</w:t>
            </w:r>
          </w:p>
        </w:tc>
        <w:tc>
          <w:tcPr>
            <w:tcW w:w="1688" w:type="dxa"/>
            <w:vMerge w:val="restart"/>
            <w:tcBorders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409" w:leader="none"/>
                <w:tab w:val="left" w:pos="1449" w:leader="none"/>
              </w:tabs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231F20"/>
                <w:kern w:val="0"/>
                <w:sz w:val="20"/>
                <w:szCs w:val="22"/>
                <w:lang w:val="pl-PL" w:eastAsia="en-US" w:bidi="ar-SA"/>
              </w:rPr>
              <w:t xml:space="preserve">Jak to zrobić </w:t>
              <w:br/>
              <w:t>w HTML-u i CSS?</w:t>
            </w:r>
          </w:p>
        </w:tc>
        <w:tc>
          <w:tcPr>
            <w:tcW w:w="3475" w:type="dxa"/>
            <w:vMerge w:val="restart"/>
            <w:tcBorders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color w:val="231F20"/>
                <w:kern w:val="0"/>
                <w:sz w:val="20"/>
                <w:szCs w:val="22"/>
                <w:lang w:val="pl-PL" w:eastAsia="en-US" w:bidi="ar-SA"/>
              </w:rPr>
              <w:t xml:space="preserve">Programy do tworzenia stron internetowych. Wprowadzenie </w:t>
              <w:br/>
              <w:t xml:space="preserve">w historię języka znaczników </w:t>
              <w:br/>
              <w:t>hipertekstu (HTML) oraz kaskadowych arkuszy stylów (CSS). Ogólna struktura dokumentu HTML. Podstawowe zasady definiowania stylów w dokumencie HTML.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 pomocą nauczyciela ustawia w edytorze tekstu sposób kodowania znaków (UTF-8)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 pomocą nauczyciela tworzy prosty dokument HTML</w:t>
            </w:r>
          </w:p>
        </w:tc>
      </w:tr>
      <w:tr>
        <w:trPr>
          <w:trHeight w:val="732" w:hRule="atLeast"/>
        </w:trPr>
        <w:tc>
          <w:tcPr>
            <w:tcW w:w="791" w:type="dxa"/>
            <w:vMerge w:val="continue"/>
            <w:tcBorders>
              <w:bottom w:val="single" w:sz="4" w:space="0" w:color="00000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00000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00000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samodzielnie wprowadza w edytorze tekstu sposób kodowania znaków (UTF-8)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samodzielnie tworzy prosty dokument HTML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wyjaśnia pojęcia języka znaczników hipertekstu oraz kaskadowych arkuszy stylu</w:t>
            </w:r>
          </w:p>
        </w:tc>
      </w:tr>
      <w:tr>
        <w:trPr>
          <w:trHeight w:val="283" w:hRule="atLeast"/>
        </w:trPr>
        <w:tc>
          <w:tcPr>
            <w:tcW w:w="791" w:type="dxa"/>
            <w:vMerge w:val="continue"/>
            <w:tcBorders>
              <w:bottom w:val="single" w:sz="4" w:space="0" w:color="00000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00000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00000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  <w:lang w:val="pl-PL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poprawnie stosuje elementy CSS</w:t>
            </w:r>
          </w:p>
        </w:tc>
      </w:tr>
      <w:tr>
        <w:trPr>
          <w:trHeight w:val="283" w:hRule="atLeast"/>
        </w:trPr>
        <w:tc>
          <w:tcPr>
            <w:tcW w:w="791" w:type="dxa"/>
            <w:vMerge w:val="continue"/>
            <w:tcBorders>
              <w:bottom w:val="single" w:sz="4" w:space="0" w:color="00000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00000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00000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  <w:lang w:val="pl-PL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tworzy dokument HTML zgodnie z zaleceniami W3C</w:t>
            </w:r>
          </w:p>
        </w:tc>
      </w:tr>
      <w:tr>
        <w:trPr>
          <w:trHeight w:val="733" w:hRule="atLeast"/>
        </w:trPr>
        <w:tc>
          <w:tcPr>
            <w:tcW w:w="791" w:type="dxa"/>
            <w:vMerge w:val="continue"/>
            <w:tcBorders>
              <w:bottom w:val="single" w:sz="4" w:space="0" w:color="00000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00000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00000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potrafi wyjaśnić rolę, jaką w historii języka HTML i CSS odegrali Tim Berners-Lee, Robert Cailliau, Håkon Wium Lie i Bert Bos, oraz cel powołania W3C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color w:val="231F20"/>
                <w:kern w:val="0"/>
                <w:sz w:val="20"/>
                <w:szCs w:val="22"/>
                <w:lang w:val="pl-PL" w:eastAsia="en-US" w:bidi="ar-SA"/>
              </w:rPr>
              <w:t>1.2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Prosta strona internetowa</w:t>
            </w: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color w:val="231F20"/>
                <w:kern w:val="0"/>
                <w:sz w:val="20"/>
                <w:szCs w:val="22"/>
                <w:lang w:val="pl-PL" w:eastAsia="en-US" w:bidi="ar-SA"/>
              </w:rPr>
              <w:t>Tworzenie dokumentu HTML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color w:val="231F20"/>
                <w:kern w:val="0"/>
                <w:sz w:val="20"/>
                <w:szCs w:val="22"/>
                <w:lang w:val="pl-PL" w:eastAsia="en-US" w:bidi="ar-SA"/>
              </w:rPr>
              <w:t>z zastosowaniem CSS – definiowanie właściwości czcionki i akapitu, definiowanie jednostek miar.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stosuje style wpisane w celu sformatowania tekstu</w:t>
            </w:r>
          </w:p>
        </w:tc>
      </w:tr>
      <w:tr>
        <w:trPr>
          <w:trHeight w:val="340" w:hRule="atLeast"/>
        </w:trPr>
        <w:tc>
          <w:tcPr>
            <w:tcW w:w="791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  <w:lang w:val="pl-PL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definiuje styl i krój czcionki</w:t>
            </w:r>
          </w:p>
        </w:tc>
      </w:tr>
      <w:tr>
        <w:trPr>
          <w:trHeight w:val="340" w:hRule="atLeast"/>
        </w:trPr>
        <w:tc>
          <w:tcPr>
            <w:tcW w:w="791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  <w:lang w:val="pl-PL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stosuje różne jednostki miary</w:t>
            </w:r>
          </w:p>
        </w:tc>
      </w:tr>
      <w:tr>
        <w:trPr>
          <w:trHeight w:val="732" w:hRule="atLeast"/>
        </w:trPr>
        <w:tc>
          <w:tcPr>
            <w:tcW w:w="791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-9499" w:leader="none"/>
              </w:tabs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-9499" w:leader="none"/>
              </w:tabs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20"/>
                <w:szCs w:val="22"/>
                <w:lang w:val="pl-PL" w:eastAsia="en-US" w:bidi="ar-SA"/>
              </w:rPr>
              <w:t>definiuje właściwości czcionek (wariant czcionki, wysokość czcionki, odstępy między literami, zmiana wielkości znaków)</w:t>
            </w:r>
          </w:p>
        </w:tc>
      </w:tr>
      <w:tr>
        <w:trPr>
          <w:trHeight w:val="283" w:hRule="atLeast"/>
        </w:trPr>
        <w:tc>
          <w:tcPr>
            <w:tcW w:w="791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color w:val="231F20"/>
                <w:kern w:val="0"/>
                <w:sz w:val="20"/>
                <w:lang w:val="pl-PL" w:eastAsia="en-US" w:bidi="ar-SA"/>
              </w:rPr>
              <w:t>definiuje właściwości akapitu (odstępy między wyrazami, dekorowanie tekstu, wyrównanie tekstu w poziomie)</w:t>
            </w:r>
          </w:p>
        </w:tc>
      </w:tr>
      <w:tr>
        <w:trPr>
          <w:trHeight w:val="1020" w:hRule="exact"/>
        </w:trPr>
        <w:tc>
          <w:tcPr>
            <w:tcW w:w="7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color w:val="231F20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color w:val="231F20"/>
                <w:kern w:val="0"/>
                <w:sz w:val="20"/>
                <w:szCs w:val="22"/>
                <w:lang w:val="pl-PL" w:eastAsia="en-US" w:bidi="ar-SA"/>
              </w:rPr>
              <w:t>1.3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color w:val="231F20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231F20"/>
                <w:kern w:val="0"/>
                <w:sz w:val="20"/>
                <w:szCs w:val="22"/>
                <w:lang w:val="pl-PL" w:eastAsia="en-US" w:bidi="ar-SA"/>
              </w:rPr>
              <w:t>Strona w dobrym stylu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color w:val="231F20"/>
                <w:kern w:val="0"/>
                <w:sz w:val="20"/>
                <w:szCs w:val="22"/>
                <w:lang w:val="pl-PL" w:eastAsia="en-US" w:bidi="ar-SA"/>
              </w:rPr>
              <w:t xml:space="preserve">Definiowanie kolorów tekstu, tła całej strony lub wybranego obszaru. Osadzanie elementów graficznych </w:t>
              <w:br/>
              <w:t xml:space="preserve">i umieszczanie znaków specjalnych. Stosowanie wpisanych, osadzonych </w:t>
              <w:br/>
              <w:t>i zewnętrznych arkuszy stylów.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en-US" w:bidi="ar-SA"/>
              </w:rPr>
              <w:t>stosuje style wpisane w celu sformatowania tekstu</w:t>
            </w:r>
          </w:p>
        </w:tc>
      </w:tr>
      <w:tr>
        <w:trPr>
          <w:trHeight w:val="454" w:hRule="atLeast"/>
        </w:trPr>
        <w:tc>
          <w:tcPr>
            <w:tcW w:w="79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en-US" w:bidi="ar-SA"/>
              </w:rPr>
              <w:t xml:space="preserve">stosuje znaki specjalne (zwłaszcza </w:t>
            </w:r>
            <w:r>
              <w:rPr>
                <w:rFonts w:cs="Courier New" w:ascii="Courier New" w:hAnsi="Courier New"/>
                <w:b/>
                <w:bCs/>
                <w:kern w:val="0"/>
                <w:sz w:val="20"/>
                <w:szCs w:val="20"/>
                <w:lang w:val="pl-PL" w:eastAsia="en-US" w:bidi="ar-SA"/>
              </w:rPr>
              <w:t>&amp;nbsp;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en-US" w:bidi="ar-SA"/>
              </w:rPr>
              <w:t>)</w:t>
            </w:r>
          </w:p>
        </w:tc>
      </w:tr>
      <w:tr>
        <w:trPr>
          <w:trHeight w:val="732" w:hRule="atLeast"/>
        </w:trPr>
        <w:tc>
          <w:tcPr>
            <w:tcW w:w="79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en-US" w:bidi="ar-SA"/>
              </w:rPr>
              <w:t>definiuje kolory różnych elementów dokumentu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en-US" w:bidi="ar-SA"/>
              </w:rPr>
              <w:t>stosuje różne jednostki miary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en-US" w:bidi="ar-SA"/>
              </w:rPr>
              <w:t>pozycjonuje elementy graficzne względem tekstu</w:t>
            </w:r>
          </w:p>
        </w:tc>
      </w:tr>
      <w:tr>
        <w:trPr>
          <w:trHeight w:val="733" w:hRule="atLeast"/>
        </w:trPr>
        <w:tc>
          <w:tcPr>
            <w:tcW w:w="79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-9499" w:leader="none"/>
              </w:tabs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-9499" w:leader="none"/>
              </w:tabs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wykorzystuje style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20"/>
                <w:lang w:val="pl-PL" w:eastAsia="en-US" w:bidi="ar-SA"/>
              </w:rPr>
              <w:t>wpisane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, osadzone i zewnętrzne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stosuje wybór przez klasę</w:t>
            </w:r>
          </w:p>
        </w:tc>
      </w:tr>
      <w:tr>
        <w:trPr>
          <w:trHeight w:val="454" w:hRule="atLeast"/>
        </w:trPr>
        <w:tc>
          <w:tcPr>
            <w:tcW w:w="79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color w:val="231F20"/>
                <w:kern w:val="0"/>
                <w:sz w:val="20"/>
                <w:szCs w:val="22"/>
                <w:lang w:val="pl-PL" w:eastAsia="en-US" w:bidi="ar-SA"/>
              </w:rPr>
              <w:t>1.4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231F20"/>
                <w:kern w:val="0"/>
                <w:sz w:val="20"/>
                <w:szCs w:val="22"/>
                <w:lang w:val="pl-PL" w:eastAsia="en-US" w:bidi="ar-SA"/>
              </w:rPr>
              <w:t>Strona interaktywna</w:t>
            </w: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color w:val="231F20"/>
                <w:kern w:val="0"/>
                <w:sz w:val="20"/>
                <w:szCs w:val="22"/>
                <w:lang w:val="pl-PL" w:eastAsia="en-US" w:bidi="ar-SA"/>
              </w:rPr>
              <w:t xml:space="preserve">Tworzenie elementów interaktywnych </w:t>
              <w:br/>
              <w:t>z wykorzystaniem CSS i JavaScript</w:t>
            </w:r>
            <w:r>
              <w:rPr>
                <w:kern w:val="0"/>
                <w:sz w:val="20"/>
                <w:szCs w:val="22"/>
                <w:lang w:val="pl-PL" w:eastAsia="en-US" w:bidi="ar-SA"/>
              </w:rPr>
              <w:t xml:space="preserve">.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2"/>
                <w:lang w:val="pl-PL" w:eastAsia="en-US" w:bidi="ar-SA"/>
              </w:rPr>
              <w:t xml:space="preserve">Tworzenie interaktywnej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20"/>
                <w:szCs w:val="22"/>
                <w:lang w:val="pl-PL" w:eastAsia="en-US" w:bidi="ar-SA"/>
              </w:rPr>
              <w:t xml:space="preserve"> galerii zdjęć.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 xml:space="preserve">z pomocą nauczyciela tworzy </w:t>
            </w:r>
            <w:r>
              <w:rPr>
                <w:rFonts w:ascii="Calibri" w:hAnsi="Calibri" w:asciiTheme="minorHAnsi" w:hAnsiTheme="minorHAnsi"/>
                <w:color w:val="231F20"/>
                <w:kern w:val="0"/>
                <w:sz w:val="20"/>
                <w:lang w:val="pl-PL" w:eastAsia="en-US" w:bidi="ar-SA"/>
              </w:rPr>
              <w:t xml:space="preserve">i umieszcza na stronach HTML </w:t>
            </w: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 xml:space="preserve">elementy interaktywne </w:t>
              <w:br/>
              <w:t xml:space="preserve">w CSS z wykorzystaniem pseudoklasy </w:t>
            </w:r>
            <w:r>
              <w:rPr>
                <w:rFonts w:ascii="Courier" w:hAnsi="Courier"/>
                <w:b/>
                <w:bCs/>
                <w:kern w:val="0"/>
                <w:sz w:val="20"/>
                <w:szCs w:val="20"/>
                <w:lang w:val="pl-PL" w:eastAsia="en-US" w:bidi="ar-SA"/>
              </w:rPr>
              <w:t>:hover</w:t>
            </w:r>
          </w:p>
        </w:tc>
      </w:tr>
      <w:tr>
        <w:trPr>
          <w:trHeight w:val="454" w:hRule="atLeast"/>
        </w:trPr>
        <w:tc>
          <w:tcPr>
            <w:tcW w:w="791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Arial Narrow" w:asciiTheme="minorHAnsi" w:hAnsi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 xml:space="preserve">samodzielnie tworzy </w:t>
            </w:r>
            <w:r>
              <w:rPr>
                <w:rFonts w:ascii="Calibri" w:hAnsi="Calibri" w:asciiTheme="minorHAnsi" w:hAnsiTheme="minorHAnsi"/>
                <w:color w:val="231F20"/>
                <w:kern w:val="0"/>
                <w:sz w:val="20"/>
                <w:lang w:val="pl-PL" w:eastAsia="en-US" w:bidi="ar-SA"/>
              </w:rPr>
              <w:t xml:space="preserve">i umieszcza na stronach HTML </w:t>
            </w: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>interaktywne elementy w CSS</w:t>
              <w:br/>
              <w:t xml:space="preserve">z wykorzystaniem pseudoklasy </w:t>
            </w:r>
            <w:r>
              <w:rPr>
                <w:rFonts w:ascii="Courier" w:hAnsi="Courier"/>
                <w:b/>
                <w:bCs/>
                <w:kern w:val="0"/>
                <w:sz w:val="20"/>
                <w:szCs w:val="20"/>
                <w:lang w:val="pl-PL" w:eastAsia="en-US" w:bidi="ar-SA"/>
              </w:rPr>
              <w:t>:hover</w:t>
            </w:r>
          </w:p>
        </w:tc>
      </w:tr>
      <w:tr>
        <w:trPr>
          <w:trHeight w:val="739" w:hRule="atLeast"/>
        </w:trPr>
        <w:tc>
          <w:tcPr>
            <w:tcW w:w="791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Arial Narrow" w:asciiTheme="minorHAnsi" w:hAnsi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Arial Narrow" w:asciiTheme="minorHAnsi" w:hAnsi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>z pomocą nauczyciela</w:t>
            </w:r>
            <w:r>
              <w:rPr>
                <w:rFonts w:cs="Arial Narrow" w:ascii="Calibri" w:hAnsi="Calibri" w:asciiTheme="minorHAnsi" w:hAnsi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 xml:space="preserve">tworzy </w:t>
            </w:r>
            <w:r>
              <w:rPr>
                <w:rFonts w:ascii="Calibri" w:hAnsi="Calibri" w:asciiTheme="minorHAnsi" w:hAnsiTheme="minorHAnsi"/>
                <w:color w:val="231F20"/>
                <w:kern w:val="0"/>
                <w:sz w:val="20"/>
                <w:lang w:val="pl-PL" w:eastAsia="en-US" w:bidi="ar-SA"/>
              </w:rPr>
              <w:t xml:space="preserve">i umieszcza na stronach HTML </w:t>
            </w: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 xml:space="preserve">elementy interaktywne </w:t>
              <w:br/>
            </w:r>
            <w:r>
              <w:rPr>
                <w:rFonts w:cs="Arial Narrow" w:ascii="Calibri" w:hAnsi="Calibri" w:asciiTheme="minorHAnsi" w:hAnsi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w JavaScript</w:t>
            </w: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 xml:space="preserve"> z wykorzystaniem </w:t>
            </w:r>
            <w:r>
              <w:rPr>
                <w:rFonts w:cs="Arial Narrow" w:ascii="Calibri" w:hAnsi="Calibri" w:asciiTheme="minorHAnsi" w:hAnsi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zdarzeń </w:t>
            </w:r>
            <w:r>
              <w:rPr>
                <w:rFonts w:ascii="Courier" w:hAnsi="Courier"/>
                <w:b/>
                <w:bCs/>
                <w:color w:val="231F20"/>
                <w:kern w:val="0"/>
                <w:sz w:val="20"/>
                <w:lang w:val="pl-PL" w:eastAsia="en-US" w:bidi="ar-SA"/>
              </w:rPr>
              <w:t>onclick</w:t>
            </w:r>
            <w:r>
              <w:rPr>
                <w:rFonts w:ascii="Calibri" w:hAnsi="Calibri" w:asciiTheme="minorHAnsi" w:hAnsiTheme="minorHAnsi"/>
                <w:color w:val="231F20"/>
                <w:kern w:val="0"/>
                <w:sz w:val="20"/>
                <w:lang w:val="pl-PL" w:eastAsia="en-US" w:bidi="ar-SA"/>
              </w:rPr>
              <w:t xml:space="preserve">, </w:t>
            </w:r>
            <w:r>
              <w:rPr>
                <w:rFonts w:ascii="Courier" w:hAnsi="Courier"/>
                <w:b/>
                <w:bCs/>
                <w:color w:val="231F20"/>
                <w:kern w:val="0"/>
                <w:sz w:val="20"/>
                <w:lang w:val="pl-PL" w:eastAsia="en-US" w:bidi="ar-SA"/>
              </w:rPr>
              <w:t>onmouseover</w:t>
            </w:r>
            <w:r>
              <w:rPr>
                <w:rFonts w:ascii="Calibri" w:hAnsi="Calibri" w:asciiTheme="minorHAnsi" w:hAnsiTheme="minorHAnsi"/>
                <w:color w:val="231F20"/>
                <w:kern w:val="0"/>
                <w:sz w:val="20"/>
                <w:lang w:val="pl-PL" w:eastAsia="en-US" w:bidi="ar-SA"/>
              </w:rPr>
              <w:t xml:space="preserve">, </w:t>
            </w:r>
            <w:r>
              <w:rPr>
                <w:rFonts w:ascii="Courier" w:hAnsi="Courier"/>
                <w:b/>
                <w:bCs/>
                <w:color w:val="231F20"/>
                <w:kern w:val="0"/>
                <w:sz w:val="20"/>
                <w:lang w:val="pl-PL" w:eastAsia="en-US" w:bidi="ar-SA"/>
              </w:rPr>
              <w:t>onmouseout</w:t>
            </w:r>
          </w:p>
        </w:tc>
      </w:tr>
      <w:tr>
        <w:trPr>
          <w:trHeight w:val="739" w:hRule="atLeast"/>
        </w:trPr>
        <w:tc>
          <w:tcPr>
            <w:tcW w:w="791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Arial Narrow" w:asciiTheme="minorHAnsi" w:hAnsi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Arial Narrow" w:asciiTheme="minorHAnsi" w:hAnsi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 w:ascii="Calibri" w:hAnsi="Calibri" w:asciiTheme="minorHAnsi" w:hAnsi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samodzielnie </w:t>
            </w: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 xml:space="preserve">tworzy </w:t>
            </w:r>
            <w:r>
              <w:rPr>
                <w:rFonts w:ascii="Calibri" w:hAnsi="Calibri" w:asciiTheme="minorHAnsi" w:hAnsiTheme="minorHAnsi"/>
                <w:color w:val="231F20"/>
                <w:kern w:val="0"/>
                <w:sz w:val="20"/>
                <w:lang w:val="pl-PL" w:eastAsia="en-US" w:bidi="ar-SA"/>
              </w:rPr>
              <w:t xml:space="preserve">i umieszcza na stronach HTML </w:t>
            </w: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 xml:space="preserve">elementy interaktywne </w:t>
            </w:r>
            <w:r>
              <w:rPr>
                <w:rFonts w:cs="Arial Narrow" w:ascii="Calibri" w:hAnsi="Calibri" w:asciiTheme="minorHAnsi" w:hAnsi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w JavaScript</w:t>
            </w: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  <w:br/>
              <w:t xml:space="preserve">z wykorzystaniem </w:t>
            </w:r>
            <w:r>
              <w:rPr>
                <w:rFonts w:cs="Arial Narrow" w:ascii="Calibri" w:hAnsi="Calibri" w:asciiTheme="minorHAnsi" w:hAnsi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zdarzeń </w:t>
            </w:r>
            <w:r>
              <w:rPr>
                <w:rFonts w:ascii="Courier" w:hAnsi="Courier"/>
                <w:b/>
                <w:bCs/>
                <w:color w:val="231F20"/>
                <w:kern w:val="0"/>
                <w:sz w:val="20"/>
                <w:lang w:val="pl-PL" w:eastAsia="en-US" w:bidi="ar-SA"/>
              </w:rPr>
              <w:t>onclick</w:t>
            </w:r>
            <w:r>
              <w:rPr>
                <w:rFonts w:ascii="Calibri" w:hAnsi="Calibri" w:asciiTheme="minorHAnsi" w:hAnsiTheme="minorHAnsi"/>
                <w:color w:val="231F20"/>
                <w:kern w:val="0"/>
                <w:sz w:val="20"/>
                <w:lang w:val="pl-PL" w:eastAsia="en-US" w:bidi="ar-SA"/>
              </w:rPr>
              <w:t xml:space="preserve">, </w:t>
            </w:r>
            <w:r>
              <w:rPr>
                <w:rFonts w:ascii="Courier" w:hAnsi="Courier"/>
                <w:b/>
                <w:bCs/>
                <w:color w:val="231F20"/>
                <w:kern w:val="0"/>
                <w:sz w:val="20"/>
                <w:lang w:val="pl-PL" w:eastAsia="en-US" w:bidi="ar-SA"/>
              </w:rPr>
              <w:t>onmouseover</w:t>
            </w:r>
            <w:r>
              <w:rPr>
                <w:rFonts w:ascii="Calibri" w:hAnsi="Calibri" w:asciiTheme="minorHAnsi" w:hAnsiTheme="minorHAnsi"/>
                <w:color w:val="231F20"/>
                <w:kern w:val="0"/>
                <w:sz w:val="20"/>
                <w:lang w:val="pl-PL" w:eastAsia="en-US" w:bidi="ar-SA"/>
              </w:rPr>
              <w:t xml:space="preserve">, </w:t>
            </w:r>
            <w:r>
              <w:rPr>
                <w:rFonts w:ascii="Courier" w:hAnsi="Courier"/>
                <w:b/>
                <w:bCs/>
                <w:color w:val="231F20"/>
                <w:kern w:val="0"/>
                <w:sz w:val="20"/>
                <w:lang w:val="pl-PL" w:eastAsia="en-US" w:bidi="ar-SA"/>
              </w:rPr>
              <w:t>onmouseout</w:t>
            </w:r>
          </w:p>
        </w:tc>
      </w:tr>
      <w:tr>
        <w:trPr>
          <w:trHeight w:val="20" w:hRule="atLeast"/>
        </w:trPr>
        <w:tc>
          <w:tcPr>
            <w:tcW w:w="791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Arial Narrow" w:asciiTheme="minorHAnsi" w:hAnsi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Arial Narrow" w:asciiTheme="minorHAnsi" w:hAnsi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 w:ascii="Calibri" w:hAnsi="Calibri" w:asciiTheme="minorHAnsi" w:hAnsi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samodzielnie tworzy interaktywną galerię fotografii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91"/>
        <w:gridCol w:w="1688"/>
        <w:gridCol w:w="3475"/>
        <w:gridCol w:w="1133"/>
        <w:gridCol w:w="7514"/>
      </w:tblGrid>
      <w:tr>
        <w:trPr>
          <w:trHeight w:val="1020" w:hRule="exact"/>
        </w:trPr>
        <w:tc>
          <w:tcPr>
            <w:tcW w:w="7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0" w:hRule="atLeast"/>
        </w:trPr>
        <w:tc>
          <w:tcPr>
            <w:tcW w:w="79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color w:val="231F20"/>
                <w:kern w:val="0"/>
                <w:sz w:val="20"/>
                <w:szCs w:val="22"/>
                <w:lang w:val="pl-PL" w:eastAsia="en-US" w:bidi="ar-SA"/>
              </w:rPr>
              <w:t>1.5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231F20"/>
                <w:kern w:val="0"/>
                <w:sz w:val="20"/>
                <w:szCs w:val="22"/>
                <w:lang w:val="pl-PL" w:eastAsia="en-US" w:bidi="ar-SA"/>
              </w:rPr>
              <w:t>Witryna WWW</w:t>
            </w:r>
          </w:p>
        </w:tc>
        <w:tc>
          <w:tcPr>
            <w:tcW w:w="3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color w:val="231F20"/>
                <w:kern w:val="0"/>
                <w:sz w:val="20"/>
                <w:szCs w:val="22"/>
                <w:lang w:val="pl-PL" w:eastAsia="en-US" w:bidi="ar-SA"/>
              </w:rPr>
              <w:t xml:space="preserve">Rodzaje witryn WWW. Porządkowanie kodu dokumentu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20"/>
                <w:szCs w:val="22"/>
                <w:lang w:val="pl-PL" w:eastAsia="en-US" w:bidi="ar-SA"/>
              </w:rPr>
              <w:t>HTML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2"/>
                <w:lang w:val="pl-PL" w:eastAsia="en-US" w:bidi="ar-SA"/>
              </w:rPr>
              <w:t xml:space="preserve"> zgodnie </w:t>
              <w:br/>
              <w:t>ze specyfikacją HTML5. T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20"/>
                <w:szCs w:val="22"/>
                <w:lang w:val="pl-PL" w:eastAsia="en-US" w:bidi="ar-SA"/>
              </w:rPr>
              <w:t>w</w:t>
            </w:r>
            <w:r>
              <w:rPr>
                <w:rFonts w:ascii="Calibri" w:hAnsi="Calibri" w:asciiTheme="minorHAnsi" w:hAnsiTheme="minorHAnsi"/>
                <w:color w:val="231F20"/>
                <w:kern w:val="0"/>
                <w:sz w:val="20"/>
                <w:szCs w:val="22"/>
                <w:lang w:val="pl-PL" w:eastAsia="en-US" w:bidi="ar-SA"/>
              </w:rPr>
              <w:t>orzenie witryny przez połączenie poszczególnych dokumentów HTML systemem odnośników.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opisuje budowę adresu strony WWW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wyjaśnia znaczenie rozszerzenia domeny</w:t>
            </w:r>
          </w:p>
        </w:tc>
      </w:tr>
      <w:tr>
        <w:trPr>
          <w:trHeight w:val="624" w:hRule="atLeast"/>
        </w:trPr>
        <w:tc>
          <w:tcPr>
            <w:tcW w:w="79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wyjaśnia znaczenie nazwy </w:t>
            </w:r>
            <w:r>
              <w:rPr>
                <w:rFonts w:eastAsia="Calibri" w:cs="Arial Narrow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index.htm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tworzy odnośniki tekstowe i graficzne do innych dokumentów</w:t>
            </w:r>
          </w:p>
        </w:tc>
      </w:tr>
      <w:tr>
        <w:trPr>
          <w:trHeight w:val="983" w:hRule="atLeast"/>
        </w:trPr>
        <w:tc>
          <w:tcPr>
            <w:tcW w:w="79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omawia strukturalną budowę dokumentu HTML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opisuje rolę znaczników: </w:t>
            </w:r>
            <w:r>
              <w:rPr>
                <w:rFonts w:eastAsia="Calibri" w:cs="Arial Narrow" w:ascii="Courier" w:hAnsi="Courier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header</w:t>
            </w: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,</w:t>
            </w:r>
            <w:r>
              <w:rPr>
                <w:rFonts w:eastAsia="Calibri" w:cs="Arial Narrow" w:ascii="Courier" w:hAnsi="Courier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Arial Narrow" w:ascii="Courier" w:hAnsi="Courier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nav</w:t>
            </w: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,</w:t>
            </w:r>
            <w:r>
              <w:rPr>
                <w:rFonts w:eastAsia="Calibri" w:cs="Arial Narrow" w:ascii="Courier" w:hAnsi="Courier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Arial Narrow" w:ascii="Courier" w:hAnsi="Courier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article</w:t>
            </w: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,</w:t>
            </w:r>
            <w:r>
              <w:rPr>
                <w:rFonts w:eastAsia="Calibri" w:cs="Arial Narrow" w:ascii="Courier" w:hAnsi="Courier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Arial Narrow" w:ascii="Courier" w:hAnsi="Courier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section</w:t>
            </w: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,</w:t>
            </w:r>
            <w:r>
              <w:rPr>
                <w:rFonts w:eastAsia="Calibri" w:cs="Arial Narrow" w:ascii="Courier" w:hAnsi="Courier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Arial Narrow" w:ascii="Courier" w:hAnsi="Courier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aside</w:t>
            </w: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,</w:t>
            </w:r>
            <w:r>
              <w:rPr>
                <w:rFonts w:eastAsia="Calibri" w:cs="Arial Narrow" w:ascii="Courier" w:hAnsi="Courier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Arial Narrow" w:ascii="Courier" w:hAnsi="Courier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footer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z pomocą nauczyciela stosuje ww. znaczniki do tworzenia dokumentu HTML</w:t>
            </w:r>
          </w:p>
        </w:tc>
      </w:tr>
      <w:tr>
        <w:trPr>
          <w:trHeight w:val="454" w:hRule="atLeast"/>
        </w:trPr>
        <w:tc>
          <w:tcPr>
            <w:tcW w:w="79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samodzielnie stosuje znaczniki </w:t>
            </w:r>
            <w:r>
              <w:rPr>
                <w:rFonts w:eastAsia="Calibri" w:cs="Arial Narrow" w:ascii="Courier" w:hAnsi="Courier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header</w:t>
            </w: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,</w:t>
            </w:r>
            <w:r>
              <w:rPr>
                <w:rFonts w:eastAsia="Calibri" w:cs="Arial Narrow" w:ascii="Courier" w:hAnsi="Courier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Arial Narrow" w:ascii="Courier" w:hAnsi="Courier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nav</w:t>
            </w: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,</w:t>
            </w:r>
            <w:r>
              <w:rPr>
                <w:rFonts w:eastAsia="Calibri" w:cs="Arial Narrow" w:ascii="Courier" w:hAnsi="Courier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Arial Narrow" w:ascii="Courier" w:hAnsi="Courier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article</w:t>
            </w: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,</w:t>
            </w:r>
            <w:r>
              <w:rPr>
                <w:rFonts w:eastAsia="Calibri" w:cs="Arial Narrow" w:ascii="Courier" w:hAnsi="Courier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Arial Narrow" w:ascii="Courier" w:hAnsi="Courier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section</w:t>
            </w: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,</w:t>
            </w:r>
            <w:r>
              <w:rPr>
                <w:rFonts w:eastAsia="Calibri" w:cs="Arial Narrow" w:ascii="Courier" w:hAnsi="Courier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Arial Narrow" w:ascii="Courier" w:hAnsi="Courier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aside</w:t>
            </w: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  <w:br/>
              <w:t xml:space="preserve">i </w:t>
            </w:r>
            <w:r>
              <w:rPr>
                <w:rFonts w:eastAsia="Calibri" w:cs="Arial Narrow" w:ascii="Courier" w:hAnsi="Courier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footer</w:t>
            </w: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do tworzenia poprawnej struktury dokumentu</w:t>
            </w:r>
          </w:p>
        </w:tc>
      </w:tr>
      <w:tr>
        <w:trPr>
          <w:trHeight w:val="624" w:hRule="atLeast"/>
        </w:trPr>
        <w:tc>
          <w:tcPr>
            <w:tcW w:w="79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tworząc witrynę WWW, pracuje samodzielnie i stosuje własne rozwiązania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/>
                <w:color w:val="231F20"/>
                <w:kern w:val="0"/>
                <w:sz w:val="20"/>
                <w:lang w:val="pl-PL" w:eastAsia="en-US" w:bidi="ar-SA"/>
              </w:rPr>
              <w:t>kopiuje pliki składowe na serwer WWW i weryfikuje poprawność działania witryny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restart"/>
            <w:tcBorders>
              <w:top w:val="single" w:sz="4" w:space="0" w:color="00000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color w:val="231F20"/>
                <w:kern w:val="0"/>
                <w:sz w:val="20"/>
                <w:szCs w:val="22"/>
                <w:lang w:val="pl-PL" w:eastAsia="en-US" w:bidi="ar-SA"/>
              </w:rPr>
              <w:t>1.6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231F20"/>
                <w:kern w:val="0"/>
                <w:sz w:val="20"/>
                <w:szCs w:val="22"/>
                <w:lang w:val="pl-PL" w:eastAsia="en-US" w:bidi="ar-SA"/>
              </w:rPr>
              <w:t xml:space="preserve">Prawo </w:t>
              <w:br/>
              <w:t>w internecie</w:t>
            </w: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color w:val="231F20"/>
                <w:kern w:val="0"/>
                <w:sz w:val="20"/>
                <w:szCs w:val="22"/>
                <w:lang w:val="pl-PL" w:eastAsia="en-US" w:bidi="ar-SA"/>
              </w:rPr>
              <w:t xml:space="preserve">Prawo autorskie a ochrona wizerunku oraz twórczości (ochrona elementów serwisów i całych serwisów WWW, ochrona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20"/>
                <w:szCs w:val="22"/>
                <w:lang w:val="pl-PL" w:eastAsia="en-US" w:bidi="ar-SA"/>
              </w:rPr>
              <w:t>oprogramowania).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2"/>
                <w:lang w:val="pl-PL" w:eastAsia="en-US" w:bidi="ar-SA"/>
              </w:rPr>
              <w:t xml:space="preserve"> Dozwolony użytek.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20"/>
                <w:szCs w:val="22"/>
                <w:lang w:val="pl-PL" w:eastAsia="en-US" w:bidi="ar-SA"/>
              </w:rPr>
              <w:t xml:space="preserve">olne oprogramowanie. Ochrona wizerunku i bezpieczeństwo </w:t>
              <w:br/>
            </w:r>
            <w:r>
              <w:rPr>
                <w:rFonts w:ascii="Calibri" w:hAnsi="Calibri" w:asciiTheme="minorHAnsi" w:hAnsiTheme="minorHAnsi"/>
                <w:color w:val="231F20"/>
                <w:kern w:val="0"/>
                <w:sz w:val="20"/>
                <w:szCs w:val="22"/>
                <w:lang w:val="pl-PL" w:eastAsia="en-US" w:bidi="ar-SA"/>
              </w:rPr>
              <w:t>w sieci.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wyjaśnia konieczność chronienia utworów (np. programów, zdjęć, stron WWW)</w:t>
            </w:r>
          </w:p>
        </w:tc>
      </w:tr>
      <w:tr>
        <w:trPr>
          <w:trHeight w:val="454" w:hRule="atLeast"/>
        </w:trPr>
        <w:tc>
          <w:tcPr>
            <w:tcW w:w="791" w:type="dxa"/>
            <w:vMerge w:val="continue"/>
            <w:tcBorders>
              <w:top w:val="single" w:sz="4" w:space="0" w:color="00000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wyjaśnia, na czym polega naruszenie praw autorskich i jak go uniknąć</w:t>
            </w:r>
          </w:p>
        </w:tc>
      </w:tr>
      <w:tr>
        <w:trPr>
          <w:trHeight w:val="454" w:hRule="atLeast"/>
        </w:trPr>
        <w:tc>
          <w:tcPr>
            <w:tcW w:w="791" w:type="dxa"/>
            <w:vMerge w:val="continue"/>
            <w:tcBorders>
              <w:top w:val="single" w:sz="4" w:space="0" w:color="00000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wyjaśnia pojęcia dozwolonego użytku prywatnego i ochrony wizerunku</w:t>
            </w:r>
          </w:p>
        </w:tc>
      </w:tr>
      <w:tr>
        <w:trPr>
          <w:trHeight w:val="454" w:hRule="atLeast"/>
        </w:trPr>
        <w:tc>
          <w:tcPr>
            <w:tcW w:w="791" w:type="dxa"/>
            <w:vMerge w:val="continue"/>
            <w:tcBorders>
              <w:top w:val="single" w:sz="4" w:space="0" w:color="00000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/>
                <w:color w:val="231F20"/>
                <w:kern w:val="0"/>
                <w:sz w:val="20"/>
                <w:lang w:val="pl-PL" w:eastAsia="en-US" w:bidi="ar-SA"/>
              </w:rPr>
              <w:t>wyjaśnia, czym są wolne oprogramowanie, i krótko charakteryzuje cztery rodzaje wolności</w:t>
            </w:r>
          </w:p>
        </w:tc>
      </w:tr>
      <w:tr>
        <w:trPr>
          <w:trHeight w:val="732" w:hRule="atLeast"/>
        </w:trPr>
        <w:tc>
          <w:tcPr>
            <w:tcW w:w="791" w:type="dxa"/>
            <w:vMerge w:val="continue"/>
            <w:tcBorders>
              <w:top w:val="single" w:sz="4" w:space="0" w:color="00000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wyjaśnia praktyczne znaczenie najważniejszych punktów </w:t>
            </w:r>
            <w:r>
              <w:rPr>
                <w:rFonts w:eastAsia="Calibri" w:cs="Arial Narrow"/>
                <w:iCs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Ustawy o prawie autorskim </w:t>
              <w:br/>
              <w:t>i prawach pokrewnych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91"/>
        <w:gridCol w:w="1688"/>
        <w:gridCol w:w="3475"/>
        <w:gridCol w:w="1133"/>
        <w:gridCol w:w="7514"/>
      </w:tblGrid>
      <w:tr>
        <w:trPr>
          <w:trHeight w:val="1020" w:hRule="exact"/>
        </w:trPr>
        <w:tc>
          <w:tcPr>
            <w:tcW w:w="7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398" w:hRule="atLeast"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color="auto" w:fill="25408F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2. Lekcje programowania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kern w:val="0"/>
                <w:sz w:val="20"/>
                <w:szCs w:val="22"/>
                <w:lang w:val="pl-PL" w:eastAsia="en-US" w:bidi="ar-SA"/>
              </w:rPr>
              <w:t>2.1</w:t>
            </w:r>
          </w:p>
        </w:tc>
        <w:tc>
          <w:tcPr>
            <w:tcW w:w="168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409" w:leader="none"/>
                <w:tab w:val="left" w:pos="1449" w:leader="none"/>
              </w:tabs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2"/>
                <w:lang w:val="pl-PL" w:eastAsia="en-US" w:bidi="ar-SA"/>
              </w:rPr>
              <w:t>Rysuj z żółwiem</w:t>
            </w:r>
          </w:p>
        </w:tc>
        <w:tc>
          <w:tcPr>
            <w:tcW w:w="3475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>Wstęp do języka Python. Rysowanie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 xml:space="preserve">z wykorzystaniem modułu </w:t>
            </w:r>
            <w:r>
              <w:rPr>
                <w:rFonts w:cs="Courier New" w:ascii="Courier New" w:hAnsi="Courier New"/>
                <w:b/>
                <w:bCs/>
                <w:kern w:val="0"/>
                <w:sz w:val="20"/>
                <w:szCs w:val="22"/>
                <w:lang w:val="pl-PL" w:eastAsia="en-US" w:bidi="ar-SA"/>
              </w:rPr>
              <w:t>turtle</w:t>
            </w: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 xml:space="preserve">. Wykorzystanie iteracji. Pętla </w:t>
            </w:r>
            <w:r>
              <w:rPr>
                <w:rFonts w:cs="Courier New" w:ascii="Courier New" w:hAnsi="Courier New"/>
                <w:b/>
                <w:bCs/>
                <w:kern w:val="0"/>
                <w:sz w:val="20"/>
                <w:szCs w:val="22"/>
                <w:lang w:val="pl-PL" w:eastAsia="en-US" w:bidi="ar-SA"/>
              </w:rPr>
              <w:t>for</w:t>
            </w: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 xml:space="preserve">. Wykorzystanie kolorów do rysowania </w:t>
              <w:br/>
              <w:t xml:space="preserve">i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2"/>
                <w:lang w:val="pl-PL" w:eastAsia="en-US" w:bidi="ar-SA"/>
              </w:rPr>
              <w:t>zamalowywania narysowanych obiektów.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 xml:space="preserve">z pomocą nauczyciela rysuje proste rysunki z wykorzystaniem modułu </w:t>
            </w:r>
            <w:r>
              <w:rPr>
                <w:rFonts w:cs="Courier New" w:ascii="Courier New" w:hAnsi="Courier New"/>
                <w:b/>
                <w:bCs/>
                <w:kern w:val="0"/>
                <w:lang w:val="pl-PL" w:eastAsia="en-US" w:bidi="ar-SA"/>
              </w:rPr>
              <w:t>turtle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 xml:space="preserve">samodzielnie rysuje proste rysunki z wykorzystaniem modułu </w:t>
            </w:r>
            <w:r>
              <w:rPr>
                <w:rFonts w:cs="Courier New" w:ascii="Courier New" w:hAnsi="Courier New"/>
                <w:b/>
                <w:bCs/>
                <w:kern w:val="0"/>
                <w:lang w:val="pl-PL" w:eastAsia="en-US" w:bidi="ar-SA"/>
              </w:rPr>
              <w:t>turtle</w:t>
            </w:r>
          </w:p>
        </w:tc>
      </w:tr>
      <w:tr>
        <w:trPr>
          <w:trHeight w:val="732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lang w:val="pl-PL"/>
              </w:rPr>
            </w:pPr>
            <w:r>
              <w:rPr>
                <w:rFonts w:eastAsia="Times New Roman" w:cs="Arial Narrow"/>
                <w:color w:val="000000"/>
                <w:kern w:val="0"/>
                <w:sz w:val="20"/>
                <w:szCs w:val="20"/>
                <w:lang w:val="pl-PL" w:eastAsia="pl-PL" w:bidi="ar-SA"/>
              </w:rPr>
              <w:t>rysuje za pomocą kolorowego pisaka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lang w:val="pl-PL"/>
              </w:rPr>
            </w:pPr>
            <w:r>
              <w:rPr>
                <w:rFonts w:eastAsia="Times New Roman" w:cs="Arial Narrow"/>
                <w:color w:val="000000"/>
                <w:kern w:val="0"/>
                <w:sz w:val="20"/>
                <w:szCs w:val="20"/>
                <w:lang w:val="pl-PL" w:eastAsia="pl-PL" w:bidi="ar-SA"/>
              </w:rPr>
              <w:t>wypełnia rysunki kolorem</w:t>
            </w:r>
          </w:p>
        </w:tc>
      </w:tr>
      <w:tr>
        <w:trPr>
          <w:trHeight w:val="454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 xml:space="preserve">korzysta z pętli </w:t>
            </w:r>
            <w:r>
              <w:rPr>
                <w:rFonts w:cs="Courier New" w:ascii="Courier New" w:hAnsi="Courier New"/>
                <w:b/>
                <w:bCs/>
                <w:kern w:val="0"/>
                <w:lang w:val="pl-PL" w:eastAsia="en-US" w:bidi="ar-SA"/>
              </w:rPr>
              <w:t>for</w:t>
            </w: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 xml:space="preserve"> do rysowania prostych rysunków</w:t>
            </w:r>
          </w:p>
        </w:tc>
      </w:tr>
      <w:tr>
        <w:trPr>
          <w:trHeight w:val="454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bardzo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 xml:space="preserve">korzysta z pętli </w:t>
            </w:r>
            <w:r>
              <w:rPr>
                <w:rFonts w:cs="Courier New" w:ascii="Courier New" w:hAnsi="Courier New"/>
                <w:b/>
                <w:bCs/>
                <w:kern w:val="0"/>
                <w:lang w:val="pl-PL" w:eastAsia="en-US" w:bidi="ar-SA"/>
              </w:rPr>
              <w:t>for</w:t>
            </w: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 xml:space="preserve"> do rysowania złożonych rysunków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kern w:val="0"/>
                <w:sz w:val="20"/>
                <w:szCs w:val="22"/>
                <w:lang w:val="pl-PL" w:eastAsia="en-US" w:bidi="ar-SA"/>
              </w:rPr>
              <w:t>2.2</w:t>
            </w:r>
          </w:p>
        </w:tc>
        <w:tc>
          <w:tcPr>
            <w:tcW w:w="168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2"/>
                <w:lang w:val="pl-PL" w:eastAsia="en-US" w:bidi="ar-SA"/>
              </w:rPr>
              <w:t xml:space="preserve">Fantazyjne </w:t>
              <w:br/>
              <w:t>posadzki</w:t>
            </w:r>
          </w:p>
        </w:tc>
        <w:tc>
          <w:tcPr>
            <w:tcW w:w="3475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 xml:space="preserve">Definiowanie funkcji bez parametru </w:t>
              <w:br/>
              <w:t xml:space="preserve">i z parametrem. Rysowanie powtarzających się elementów wzoru </w:t>
              <w:br/>
              <w:t>i kwadratowych posadzek.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z pomocą nauczyciela definiuje funkcje bez parametru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samodzielnie definiuje funkcje bez parametru</w:t>
            </w:r>
          </w:p>
        </w:tc>
      </w:tr>
      <w:tr>
        <w:trPr>
          <w:trHeight w:val="454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dostatecznej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definiuje funkcje z parametrem</w:t>
            </w:r>
          </w:p>
        </w:tc>
      </w:tr>
      <w:tr>
        <w:trPr>
          <w:trHeight w:val="732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korzysta z funkcji pomocniczych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tworzy powtarzające się wzory</w:t>
            </w:r>
          </w:p>
        </w:tc>
      </w:tr>
      <w:tr>
        <w:trPr>
          <w:trHeight w:val="454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bardzo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rysuje kwadratowe posadzki o złożonych wzorach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91"/>
        <w:gridCol w:w="1688"/>
        <w:gridCol w:w="3475"/>
        <w:gridCol w:w="1133"/>
        <w:gridCol w:w="7514"/>
      </w:tblGrid>
      <w:tr>
        <w:trPr>
          <w:trHeight w:val="1020" w:hRule="exact"/>
        </w:trPr>
        <w:tc>
          <w:tcPr>
            <w:tcW w:w="7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454" w:hRule="atLeast"/>
        </w:trPr>
        <w:tc>
          <w:tcPr>
            <w:tcW w:w="791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kern w:val="0"/>
                <w:sz w:val="20"/>
                <w:szCs w:val="22"/>
                <w:lang w:val="pl-PL" w:eastAsia="en-US" w:bidi="ar-SA"/>
              </w:rPr>
              <w:t>2.3</w:t>
            </w:r>
          </w:p>
        </w:tc>
        <w:tc>
          <w:tcPr>
            <w:tcW w:w="168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right="362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2"/>
                <w:lang w:val="pl-PL" w:eastAsia="en-US" w:bidi="ar-SA"/>
              </w:rPr>
              <w:t>Pisz</w:t>
              <w:br/>
              <w:t>i powtarzaj</w:t>
            </w:r>
          </w:p>
        </w:tc>
        <w:tc>
          <w:tcPr>
            <w:tcW w:w="3475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2"/>
                <w:lang w:val="pl-PL" w:eastAsia="en-US" w:bidi="ar-SA"/>
              </w:rPr>
              <w:t xml:space="preserve">Stosowanie napisów w Pythonie </w:t>
              <w:br/>
              <w:t xml:space="preserve">z wykorzystaniem napisów. Wczytywanie danych i wypisywanie na ekranie obrazków złożonych ze znaków tekstowych. Dialog komputera </w:t>
              <w:br/>
              <w:t>z użytkownikiem.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dopuszczającej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wypisuje tekst na ekranie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tworzy proste efekty graficzne za pomocą wypisywanego tekstu</w:t>
            </w:r>
          </w:p>
        </w:tc>
      </w:tr>
      <w:tr>
        <w:trPr>
          <w:trHeight w:val="732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dostatecznej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tworzy efekty graficzne za pomocą wypisywanego tekstu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wczytuje dane tekstowe z klawiatury</w:t>
            </w:r>
          </w:p>
        </w:tc>
      </w:tr>
      <w:tr>
        <w:trPr>
          <w:trHeight w:val="2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programuje dialog komputera z użytkownikiem</w:t>
            </w:r>
          </w:p>
        </w:tc>
      </w:tr>
      <w:tr>
        <w:trPr>
          <w:trHeight w:val="2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bardzo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samodzielnie rozwiązuje dodatkowe zadania programistyczne związane z napisami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kern w:val="0"/>
                <w:sz w:val="20"/>
                <w:szCs w:val="22"/>
                <w:lang w:val="pl-PL" w:eastAsia="en-US" w:bidi="ar-SA"/>
              </w:rPr>
              <w:t>2.4</w:t>
            </w:r>
          </w:p>
        </w:tc>
        <w:tc>
          <w:tcPr>
            <w:tcW w:w="168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2"/>
                <w:lang w:val="pl-PL" w:eastAsia="en-US" w:bidi="ar-SA"/>
              </w:rPr>
              <w:t>Proste obliczenia</w:t>
            </w:r>
          </w:p>
        </w:tc>
        <w:tc>
          <w:tcPr>
            <w:tcW w:w="34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right="215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 xml:space="preserve">Podstawowe operacje arytmetyczne </w:t>
              <w:br/>
              <w:t>w języku Python. Wykorzystanie zmiennych. Pisanie prostych programów realizujących obliczenia. Wypisywanie wyników.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opisuje i odpowiednio wykorzystuje proste operacje matematyczne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opisuje i odpowiednio wykorzystuje zmienne</w:t>
            </w:r>
          </w:p>
        </w:tc>
      </w:tr>
      <w:tr>
        <w:trPr>
          <w:trHeight w:val="737" w:hRule="atLeast"/>
        </w:trPr>
        <w:tc>
          <w:tcPr>
            <w:tcW w:w="791" w:type="dxa"/>
            <w:vMerge w:val="continue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stosuje podstawowe operatory arytmetyczne dostępne w Pythonie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deklaruje i wykorzystuje zmienne w programie</w:t>
            </w:r>
          </w:p>
        </w:tc>
      </w:tr>
      <w:tr>
        <w:trPr>
          <w:trHeight w:val="737" w:hRule="atLeast"/>
        </w:trPr>
        <w:tc>
          <w:tcPr>
            <w:tcW w:w="791" w:type="dxa"/>
            <w:vMerge w:val="continue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pisze programy wykonujące proste obliczenia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wypisuje wyniki obliczeń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samodzielnie rozwiązuje dodatkowe zadania obliczeniowe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91"/>
        <w:gridCol w:w="1688"/>
        <w:gridCol w:w="3475"/>
        <w:gridCol w:w="1133"/>
        <w:gridCol w:w="7514"/>
      </w:tblGrid>
      <w:tr>
        <w:trPr>
          <w:trHeight w:val="1020" w:hRule="exact"/>
        </w:trPr>
        <w:tc>
          <w:tcPr>
            <w:tcW w:w="7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91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kern w:val="0"/>
                <w:sz w:val="20"/>
                <w:szCs w:val="22"/>
                <w:lang w:val="pl-PL" w:eastAsia="en-US" w:bidi="ar-SA"/>
              </w:rPr>
              <w:t>2.5</w:t>
            </w:r>
          </w:p>
        </w:tc>
        <w:tc>
          <w:tcPr>
            <w:tcW w:w="168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2"/>
                <w:lang w:val="pl-PL" w:eastAsia="en-US" w:bidi="ar-SA"/>
              </w:rPr>
              <w:t>Pętle i warunki</w:t>
            </w:r>
          </w:p>
        </w:tc>
        <w:tc>
          <w:tcPr>
            <w:tcW w:w="3475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53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 xml:space="preserve">Zmiana wartości zmiennych. Wykorzystanie pętli </w:t>
            </w:r>
            <w:r>
              <w:rPr>
                <w:rFonts w:cs="Courier New" w:ascii="Courier New" w:hAnsi="Courier New"/>
                <w:b/>
                <w:bCs/>
                <w:kern w:val="0"/>
                <w:sz w:val="20"/>
                <w:szCs w:val="22"/>
                <w:lang w:val="pl-PL" w:eastAsia="en-US" w:bidi="ar-SA"/>
              </w:rPr>
              <w:t>for</w:t>
            </w: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 xml:space="preserve"> i </w:t>
            </w:r>
            <w:r>
              <w:rPr>
                <w:rFonts w:cs="Courier New" w:ascii="Courier New" w:hAnsi="Courier New"/>
                <w:b/>
                <w:bCs/>
                <w:kern w:val="0"/>
                <w:sz w:val="20"/>
                <w:szCs w:val="22"/>
                <w:lang w:val="pl-PL" w:eastAsia="en-US" w:bidi="ar-SA"/>
              </w:rPr>
              <w:t>while</w:t>
            </w: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2"/>
                <w:lang w:val="pl-PL" w:eastAsia="en-US" w:bidi="ar-SA"/>
              </w:rPr>
              <w:t xml:space="preserve">oraz instrukcji warunkowej </w:t>
              <w:br/>
              <w:t>do programowania obliczeń.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zmienia wartość początkową zmiennej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stosuje prostą instrukcję warunkową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stosuje instrukcję warunkową</w:t>
            </w:r>
          </w:p>
        </w:tc>
      </w:tr>
      <w:tr>
        <w:trPr>
          <w:trHeight w:val="102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analizuje schemat blokowy algorytmu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oblicza sumę cyfr podanej liczby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76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 xml:space="preserve">wykorzystuje pętlę </w:t>
            </w:r>
            <w:r>
              <w:rPr>
                <w:rFonts w:eastAsia="Calibri" w:cs="Courier New" w:ascii="Courier New" w:hAnsi="Courier New"/>
                <w:b/>
                <w:bCs/>
                <w:kern w:val="0"/>
                <w:sz w:val="20"/>
                <w:szCs w:val="20"/>
                <w:lang w:val="pl-PL" w:eastAsia="en-US" w:bidi="ar-SA"/>
              </w:rPr>
              <w:t>while</w:t>
            </w: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 xml:space="preserve"> do zapisu algorytmów</w:t>
            </w:r>
          </w:p>
        </w:tc>
      </w:tr>
      <w:tr>
        <w:trPr>
          <w:trHeight w:val="737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samodzielnie rozwiązuje dodatkowe zadania programistyczne wykorzystujące zmienne, warunki i pętle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restart"/>
            <w:tcBorders>
              <w:top w:val="single" w:sz="4" w:space="0" w:color="FFFFFF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kern w:val="0"/>
                <w:sz w:val="20"/>
                <w:szCs w:val="22"/>
                <w:lang w:val="pl-PL" w:eastAsia="en-US" w:bidi="ar-SA"/>
              </w:rPr>
              <w:t>2.6</w:t>
            </w:r>
          </w:p>
        </w:tc>
        <w:tc>
          <w:tcPr>
            <w:tcW w:w="1688" w:type="dxa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409" w:leader="none"/>
                <w:tab w:val="left" w:pos="1449" w:leader="none"/>
              </w:tabs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2"/>
                <w:lang w:val="pl-PL" w:eastAsia="en-US" w:bidi="ar-SA"/>
              </w:rPr>
              <w:t>Odgadniesz liczbę?</w:t>
            </w:r>
          </w:p>
        </w:tc>
        <w:tc>
          <w:tcPr>
            <w:tcW w:w="3475" w:type="dxa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 xml:space="preserve">Wyszukiwanie elementu w zbiorze uporządkowanym. Wyszukiwanie binarne według metody „dziel </w:t>
              <w:br/>
              <w:t xml:space="preserve">i zwyciężaj”. Losowanie liczb </w:t>
              <w:br/>
              <w:t xml:space="preserve">całkowitych. Realizacja gry </w:t>
              <w:br/>
              <w:t xml:space="preserve">w odgadywanie liczby wylosowanej </w:t>
              <w:br/>
              <w:t>przez komputer.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rozumie zasady gry </w:t>
            </w:r>
            <w:r>
              <w:rPr>
                <w:rFonts w:eastAsia="Calibri" w:cs="Arial Narrow"/>
                <w:i/>
                <w:iCs/>
                <w:color w:val="000000"/>
                <w:kern w:val="0"/>
                <w:sz w:val="20"/>
                <w:szCs w:val="20"/>
                <w:lang w:val="pl-PL" w:eastAsia="en-US" w:bidi="ar-SA"/>
              </w:rPr>
              <w:t>Odgadnij liczbę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biorąc udział w grze, potrafi zastosować optymalną strategię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top w:val="single" w:sz="4" w:space="0" w:color="FFFFFF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znajduje maksymalną liczbę kroków odgadywania danej liczby</w:t>
            </w:r>
          </w:p>
        </w:tc>
      </w:tr>
      <w:tr>
        <w:trPr>
          <w:trHeight w:val="680" w:hRule="atLeast"/>
        </w:trPr>
        <w:tc>
          <w:tcPr>
            <w:tcW w:w="791" w:type="dxa"/>
            <w:vMerge w:val="continue"/>
            <w:tcBorders>
              <w:top w:val="single" w:sz="4" w:space="0" w:color="FFFFFF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losuje liczby całkowite z danego zakresu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wykorzystuje pętlę </w:t>
            </w:r>
            <w:r>
              <w:rPr>
                <w:rFonts w:eastAsia="Calibri" w:cs="Courier New" w:ascii="Courier New" w:hAnsi="Courier New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while</w:t>
            </w: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do znajdowania sumy cyfr liczby</w:t>
            </w:r>
          </w:p>
        </w:tc>
      </w:tr>
      <w:tr>
        <w:trPr>
          <w:trHeight w:val="1020" w:hRule="atLeast"/>
        </w:trPr>
        <w:tc>
          <w:tcPr>
            <w:tcW w:w="791" w:type="dxa"/>
            <w:vMerge w:val="continue"/>
            <w:tcBorders>
              <w:top w:val="single" w:sz="4" w:space="0" w:color="FFFFFF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analizuje schemat blokowy algorytmu obliczania sumy cyfr dowolnej liczby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samodzielnie implementuje grę </w:t>
            </w:r>
            <w:r>
              <w:rPr>
                <w:rFonts w:eastAsia="Calibri" w:cs="Arial Narrow"/>
                <w:i/>
                <w:iCs/>
                <w:color w:val="000000"/>
                <w:kern w:val="0"/>
                <w:sz w:val="20"/>
                <w:szCs w:val="20"/>
                <w:lang w:val="pl-PL" w:eastAsia="en-US" w:bidi="ar-SA"/>
              </w:rPr>
              <w:t>Odgadnij liczbę</w:t>
            </w: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w Pythonie, korzystając ze wskazówek</w:t>
            </w:r>
          </w:p>
          <w:p>
            <w:pPr>
              <w:pStyle w:val="ListParagraph"/>
              <w:widowControl w:val="false"/>
              <w:shd w:val="clear" w:color="auto" w:fill="FFFFFF"/>
              <w:suppressAutoHyphens w:val="true"/>
              <w:spacing w:lineRule="auto" w:line="240" w:before="0" w:after="0"/>
              <w:ind w:left="227" w:hanging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w podręczniku</w:t>
            </w:r>
          </w:p>
        </w:tc>
      </w:tr>
      <w:tr>
        <w:trPr>
          <w:trHeight w:val="794" w:hRule="atLeast"/>
        </w:trPr>
        <w:tc>
          <w:tcPr>
            <w:tcW w:w="791" w:type="dxa"/>
            <w:vMerge w:val="continue"/>
            <w:tcBorders>
              <w:top w:val="single" w:sz="4" w:space="0" w:color="FFFFFF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samodzielnie rozwiązuje dodatkowe zadania programistyczne związane z algorytmami wymienionymi w punkcie I.2 podstawy programowej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91"/>
        <w:gridCol w:w="1688"/>
        <w:gridCol w:w="3475"/>
        <w:gridCol w:w="1133"/>
        <w:gridCol w:w="7514"/>
      </w:tblGrid>
      <w:tr>
        <w:trPr>
          <w:trHeight w:val="1020" w:hRule="exact"/>
        </w:trPr>
        <w:tc>
          <w:tcPr>
            <w:tcW w:w="7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398" w:hRule="atLeast"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color="auto" w:fill="25408F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3. Lekcje z danymi</w:t>
            </w:r>
          </w:p>
        </w:tc>
      </w:tr>
      <w:tr>
        <w:trPr>
          <w:trHeight w:val="20" w:hRule="atLeast"/>
        </w:trPr>
        <w:tc>
          <w:tcPr>
            <w:tcW w:w="791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kern w:val="0"/>
                <w:sz w:val="20"/>
                <w:szCs w:val="22"/>
                <w:lang w:val="pl-PL" w:eastAsia="en-US" w:bidi="ar-SA"/>
              </w:rPr>
              <w:t>3.1</w:t>
            </w:r>
          </w:p>
        </w:tc>
        <w:tc>
          <w:tcPr>
            <w:tcW w:w="168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2"/>
                <w:lang w:val="pl-PL" w:eastAsia="en-US" w:bidi="ar-SA"/>
              </w:rPr>
              <w:t>Jak to z Gaussem było</w:t>
            </w:r>
          </w:p>
        </w:tc>
        <w:tc>
          <w:tcPr>
            <w:tcW w:w="3475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>Sumowanie w arkuszu kalkulacyjnym. Porządkowanie danych w tabelach. Analizowanie danych zapisanych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>w arkuszu i obliczeń w poszukiwaniu prawidłowości.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korzysta z arkusza kalkulacyjnego w podstawowym zakresie, w tym wprowadza dane różnych typów, wprowadza i kopiuje proste formuły obliczeniowe</w:t>
            </w:r>
          </w:p>
        </w:tc>
      </w:tr>
      <w:tr>
        <w:trPr>
          <w:trHeight w:val="977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wykonuje w arkuszu proste obliczenia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 xml:space="preserve">wykorzystuje arkusz do szybkiego rozwiązywania zadań związanych z sumowaniem, </w:t>
              <w:br/>
              <w:t xml:space="preserve">w tym korzysta z funkcji </w:t>
            </w:r>
            <w:r>
              <w:rPr>
                <w:rFonts w:eastAsia="Calibri" w:cs="Arial Narrow"/>
                <w:b/>
                <w:bCs/>
                <w:kern w:val="0"/>
                <w:sz w:val="20"/>
                <w:szCs w:val="20"/>
                <w:lang w:val="pl-PL" w:eastAsia="en-US" w:bidi="ar-SA"/>
              </w:rPr>
              <w:t>Autosumowania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rozwiązuje w arkuszu proste zadania matematyczne</w:t>
            </w:r>
          </w:p>
        </w:tc>
      </w:tr>
      <w:tr>
        <w:trPr>
          <w:trHeight w:val="737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planuje wykonywanie obliczeń w arkuszu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analizuje dane zawarte w arkuszu w poszukiwaniu prawidłowości</w:t>
            </w:r>
          </w:p>
        </w:tc>
      </w:tr>
      <w:tr>
        <w:trPr>
          <w:trHeight w:val="454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samodzielnie formułuje wnioski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kern w:val="0"/>
                <w:sz w:val="20"/>
                <w:szCs w:val="22"/>
                <w:lang w:val="pl-PL" w:eastAsia="en-US" w:bidi="ar-SA"/>
              </w:rPr>
              <w:t>3.2</w:t>
            </w:r>
          </w:p>
        </w:tc>
        <w:tc>
          <w:tcPr>
            <w:tcW w:w="168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right="362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2"/>
                <w:lang w:val="pl-PL" w:eastAsia="en-US" w:bidi="ar-SA"/>
              </w:rPr>
              <w:t>Liczby, potęgi, ciągi</w:t>
            </w:r>
          </w:p>
        </w:tc>
        <w:tc>
          <w:tcPr>
            <w:tcW w:w="3475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>Wprowadzanie serii danych, formuł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>i funkcji do arkusza kalkulacyjnego. Porównywanie ciągów liczbowych. Włączanie ochrony arkusza.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rozumie, czym jest formuła i format liczbowy, i używa ich w zadaniu</w:t>
            </w:r>
          </w:p>
        </w:tc>
      </w:tr>
      <w:tr>
        <w:trPr>
          <w:trHeight w:val="68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wprowadza do arkusza serie danych, formuły i funkcje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odróżnia i stosuje różne formaty liczbowe</w:t>
            </w:r>
          </w:p>
        </w:tc>
      </w:tr>
      <w:tr>
        <w:trPr>
          <w:trHeight w:val="68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planuje wykonywanie obliczeń w arkuszu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porównuje ciągi liczbowe i odnajduje występujące w nich prawidłowości</w:t>
            </w:r>
          </w:p>
        </w:tc>
      </w:tr>
      <w:tr>
        <w:trPr>
          <w:trHeight w:val="977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analizuje dane zawarte w arkuszu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tworzy prosty kalkulator matematyczny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uniemożliwia zmianę danych w arkuszu (włącza ochronę arkusza)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samodzielnie formułuje wnioski</w:t>
            </w:r>
          </w:p>
        </w:tc>
      </w:tr>
      <w:tr>
        <w:trPr>
          <w:trHeight w:val="1020" w:hRule="exact"/>
        </w:trPr>
        <w:tc>
          <w:tcPr>
            <w:tcW w:w="7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kern w:val="0"/>
                <w:sz w:val="20"/>
                <w:szCs w:val="22"/>
                <w:lang w:val="pl-PL" w:eastAsia="en-US" w:bidi="ar-SA"/>
              </w:rPr>
              <w:t>3.3</w:t>
            </w:r>
          </w:p>
        </w:tc>
        <w:tc>
          <w:tcPr>
            <w:tcW w:w="168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2"/>
                <w:lang w:val="pl-PL" w:eastAsia="en-US" w:bidi="ar-SA"/>
              </w:rPr>
              <w:t>Z tabeli – wykres</w:t>
            </w:r>
          </w:p>
        </w:tc>
        <w:tc>
          <w:tcPr>
            <w:tcW w:w="3475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right="215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>Rysowanie wykresów funkcji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7" w:right="215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>za pomocą kreatora wykresów arkusza kalkulacyjnego. Wstawianie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7" w:right="215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>i formatowanie wykresu punktowego.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wyjaśnia, czym jest wykres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przygotowuje dane do wykonania wykresu funkcji liniowej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tworzy wykresy funkcji liniowych za pomocą kreatora wykresów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opisuje i formatuje elementy wykresu</w:t>
            </w:r>
          </w:p>
        </w:tc>
      </w:tr>
      <w:tr>
        <w:trPr>
          <w:trHeight w:val="737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planuje i wykonuje własne zestawienia danych z wykresami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samodzielnie formułuje wnioski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kern w:val="0"/>
                <w:sz w:val="20"/>
                <w:szCs w:val="22"/>
                <w:lang w:val="pl-PL" w:eastAsia="en-US" w:bidi="ar-SA"/>
              </w:rPr>
              <w:t>3.4</w:t>
            </w:r>
          </w:p>
        </w:tc>
        <w:tc>
          <w:tcPr>
            <w:tcW w:w="168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2"/>
                <w:lang w:val="pl-PL" w:eastAsia="en-US" w:bidi="ar-SA"/>
              </w:rPr>
              <w:t>Przestawianie</w:t>
              <w:br/>
              <w:t>i przedstawianie danych</w:t>
            </w:r>
          </w:p>
        </w:tc>
        <w:tc>
          <w:tcPr>
            <w:tcW w:w="34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right="53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>Przeglądanie i sortowanie dużych zestawów danych w arkuszu kalkulacyjnym. Tworzenie tabeli przestawnej. Wykonywanie prostych obliczeń statystycznych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7" w:right="53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>i prezentowanie ich w arkuszu.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wyjaśnia, czym jest funkcja, i z pomocą nauczyciela korzysta z kreatora funkcji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przegląda, sortuje i filtruje w arkuszu duże zestawy danych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samodzielnie korzysta z funkcji statystycznej </w:t>
            </w:r>
            <w:r>
              <w:rPr>
                <w:rFonts w:eastAsia="Calibri" w:cs="Arial Narrow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LICZ.JEŻELI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tworzy tabelę przestawną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planuje i wykonuje własne zestawienia z tabelami przestawnymi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samodzielnie formułuje wnioski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91"/>
        <w:gridCol w:w="1688"/>
        <w:gridCol w:w="3475"/>
        <w:gridCol w:w="1133"/>
        <w:gridCol w:w="7514"/>
      </w:tblGrid>
      <w:tr>
        <w:trPr>
          <w:trHeight w:val="1020" w:hRule="exact"/>
        </w:trPr>
        <w:tc>
          <w:tcPr>
            <w:tcW w:w="7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color w:val="231F20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color w:val="231F20"/>
                <w:kern w:val="0"/>
                <w:sz w:val="20"/>
                <w:szCs w:val="22"/>
                <w:lang w:val="pl-PL" w:eastAsia="en-US" w:bidi="ar-SA"/>
              </w:rPr>
              <w:t>3.5</w:t>
            </w:r>
          </w:p>
        </w:tc>
        <w:tc>
          <w:tcPr>
            <w:tcW w:w="168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color w:val="231F20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231F20"/>
                <w:kern w:val="0"/>
                <w:sz w:val="20"/>
                <w:szCs w:val="22"/>
                <w:lang w:val="pl-PL" w:eastAsia="en-US" w:bidi="ar-SA"/>
              </w:rPr>
              <w:t>Dużo danych</w:t>
            </w:r>
          </w:p>
        </w:tc>
        <w:tc>
          <w:tcPr>
            <w:tcW w:w="3475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right="53" w:hanging="0"/>
              <w:jc w:val="left"/>
              <w:rPr>
                <w:rFonts w:ascii="Calibri" w:hAnsi="Calibri"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color w:val="231F20"/>
                <w:kern w:val="0"/>
                <w:sz w:val="20"/>
                <w:szCs w:val="22"/>
                <w:lang w:val="pl-PL" w:eastAsia="en-US" w:bidi="ar-SA"/>
              </w:rPr>
              <w:t>Przeglądanie i analizowanie dużych zestawów danych w arkuszu kalkulacyjnym. Zastosowanie wybranych funkcji statystycznych. Przetwarzanie rozproszone.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korzysta z arkusza kalkulacyjnego w zakresie wskazanym w lekcjach 3.1–3.4</w:t>
            </w:r>
          </w:p>
        </w:tc>
      </w:tr>
      <w:tr>
        <w:trPr>
          <w:trHeight w:val="737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dopuszczającej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przegląda w arkuszu duże tabele i wyszukuje dane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 xml:space="preserve">korzysta z funkcji statystycznych </w:t>
            </w:r>
            <w:r>
              <w:rPr>
                <w:rFonts w:ascii="Calibri" w:hAnsi="Calibri" w:asciiTheme="minorHAnsi" w:hAnsiTheme="minorHAnsi"/>
                <w:b/>
                <w:bCs/>
                <w:kern w:val="0"/>
                <w:lang w:val="pl-PL" w:eastAsia="en-US" w:bidi="ar-SA"/>
              </w:rPr>
              <w:t>ŚREDNIA</w:t>
            </w: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 xml:space="preserve">, </w:t>
            </w:r>
            <w:r>
              <w:rPr>
                <w:rFonts w:ascii="Calibri" w:hAnsi="Calibri" w:asciiTheme="minorHAnsi" w:hAnsiTheme="minorHAnsi"/>
                <w:b/>
                <w:bCs/>
                <w:kern w:val="0"/>
                <w:lang w:val="pl-PL" w:eastAsia="en-US" w:bidi="ar-SA"/>
              </w:rPr>
              <w:t>MIN</w:t>
            </w: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 xml:space="preserve">, </w:t>
            </w:r>
            <w:r>
              <w:rPr>
                <w:rFonts w:ascii="Calibri" w:hAnsi="Calibri" w:asciiTheme="minorHAnsi" w:hAnsiTheme="minorHAnsi"/>
                <w:b/>
                <w:bCs/>
                <w:kern w:val="0"/>
                <w:lang w:val="pl-PL" w:eastAsia="en-US" w:bidi="ar-SA"/>
              </w:rPr>
              <w:t>MAX</w:t>
            </w: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 xml:space="preserve"> i </w:t>
            </w:r>
            <w:r>
              <w:rPr>
                <w:rFonts w:ascii="Calibri" w:hAnsi="Calibri" w:asciiTheme="minorHAnsi" w:hAnsiTheme="minorHAnsi"/>
                <w:b/>
                <w:bCs/>
                <w:kern w:val="0"/>
                <w:lang w:val="pl-PL" w:eastAsia="en-US" w:bidi="ar-SA"/>
              </w:rPr>
              <w:t>MEDIANA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dostatecznej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omawia specyfikę przetwarzania rozproszonego i opisuje wybrane projekty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uczestniczy w projekcie przetwarzania rozproszonego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bardzo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samodzielnie formułuje wnioski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color w:val="231F20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color w:val="231F20"/>
                <w:kern w:val="0"/>
                <w:sz w:val="20"/>
                <w:szCs w:val="22"/>
                <w:lang w:val="pl-PL" w:eastAsia="en-US" w:bidi="ar-SA"/>
              </w:rPr>
              <w:t>3.6</w:t>
            </w:r>
          </w:p>
        </w:tc>
        <w:tc>
          <w:tcPr>
            <w:tcW w:w="168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color w:val="231F20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231F20"/>
                <w:kern w:val="0"/>
                <w:sz w:val="20"/>
                <w:szCs w:val="22"/>
                <w:lang w:val="pl-PL" w:eastAsia="en-US" w:bidi="ar-SA"/>
              </w:rPr>
              <w:t>Moi znajomi</w:t>
            </w:r>
          </w:p>
        </w:tc>
        <w:tc>
          <w:tcPr>
            <w:tcW w:w="34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right="53" w:hanging="0"/>
              <w:jc w:val="left"/>
              <w:rPr>
                <w:rFonts w:ascii="Calibri" w:hAnsi="Calibri"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color w:val="231F20"/>
                <w:kern w:val="0"/>
                <w:sz w:val="20"/>
                <w:szCs w:val="22"/>
                <w:lang w:val="pl-PL" w:eastAsia="en-US" w:bidi="ar-SA"/>
              </w:rPr>
              <w:t xml:space="preserve">Kartotekowa baza danych w arkuszu kalkulacyjnym. Filtrowanie i sortowanie danych w bazie. Zastosowanie formularza do wprowadzania danych </w:t>
              <w:br/>
              <w:t>do bazy.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wyjaśnia, czym jest kartotekowa baza danych</w:t>
            </w:r>
          </w:p>
        </w:tc>
      </w:tr>
      <w:tr>
        <w:trPr>
          <w:trHeight w:val="454" w:hRule="atLeast"/>
        </w:trPr>
        <w:tc>
          <w:tcPr>
            <w:tcW w:w="791" w:type="dxa"/>
            <w:vMerge w:val="continue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dopuszczającej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wpisuje dane do arkusza udostępnionego do edycji w chmurze</w:t>
            </w:r>
          </w:p>
        </w:tc>
      </w:tr>
      <w:tr>
        <w:trPr>
          <w:trHeight w:val="737" w:hRule="atLeast"/>
        </w:trPr>
        <w:tc>
          <w:tcPr>
            <w:tcW w:w="791" w:type="dxa"/>
            <w:vMerge w:val="continue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dostatecznej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sortuje i filtruje dane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sprawnie wyszukuje dane o wybranych kryteriach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tworzy formularz w celu dopisywania lub poprawiania rekordów</w:t>
            </w:r>
          </w:p>
        </w:tc>
      </w:tr>
      <w:tr>
        <w:trPr>
          <w:trHeight w:val="737" w:hRule="atLeast"/>
        </w:trPr>
        <w:tc>
          <w:tcPr>
            <w:tcW w:w="791" w:type="dxa"/>
            <w:vMerge w:val="continue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bardzo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rozbudowuje bazę danych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oblicza wystąpienia pewnych danych za pomocą wbudowanych funkcji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91"/>
        <w:gridCol w:w="1688"/>
        <w:gridCol w:w="3475"/>
        <w:gridCol w:w="1133"/>
        <w:gridCol w:w="7514"/>
      </w:tblGrid>
      <w:tr>
        <w:trPr>
          <w:trHeight w:val="1020" w:hRule="exact"/>
        </w:trPr>
        <w:tc>
          <w:tcPr>
            <w:tcW w:w="7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398" w:hRule="atLeast"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color="auto" w:fill="25408F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4. Lekcje z modelami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color w:val="231F20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color w:val="231F20"/>
                <w:kern w:val="0"/>
                <w:sz w:val="20"/>
                <w:szCs w:val="22"/>
                <w:lang w:val="pl-PL" w:eastAsia="en-US" w:bidi="ar-SA"/>
              </w:rPr>
              <w:t>4.1</w:t>
            </w:r>
          </w:p>
        </w:tc>
        <w:tc>
          <w:tcPr>
            <w:tcW w:w="168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color w:val="231F20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231F20"/>
                <w:kern w:val="0"/>
                <w:sz w:val="20"/>
                <w:szCs w:val="22"/>
                <w:lang w:val="pl-PL" w:eastAsia="en-US" w:bidi="ar-SA"/>
              </w:rPr>
              <w:t xml:space="preserve">Od królików </w:t>
              <w:br/>
              <w:t>do złotej proporcji</w:t>
            </w:r>
          </w:p>
        </w:tc>
        <w:tc>
          <w:tcPr>
            <w:tcW w:w="3475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right="53" w:hanging="0"/>
              <w:jc w:val="left"/>
              <w:rPr>
                <w:rFonts w:ascii="Calibri" w:hAnsi="Calibri"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color w:val="231F20"/>
                <w:kern w:val="0"/>
                <w:sz w:val="20"/>
                <w:szCs w:val="22"/>
                <w:lang w:val="pl-PL" w:eastAsia="en-US" w:bidi="ar-SA"/>
              </w:rPr>
              <w:t>Liczby Fibonacciego. Tworzenie ciągu Fibonacciego we wspólnym skoroszycie arkusza kalkulacyjnego Google. Ilorazy kolejnych wyrazów i złota proporcja.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opisuje sposób tworzenia ciągu Fibonacciego</w:t>
            </w:r>
          </w:p>
        </w:tc>
      </w:tr>
      <w:tr>
        <w:trPr>
          <w:trHeight w:val="454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korzysta wspólnie z innymi z arkusza kalkulacyjnego Google</w:t>
            </w:r>
          </w:p>
        </w:tc>
      </w:tr>
      <w:tr>
        <w:trPr>
          <w:trHeight w:val="454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udostępnia arkusz i redaguje go wspólnie z innymi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oblicza w arkuszu kolejne wyrazy ciągu Fibonacciego i ich ilorazy</w:t>
            </w:r>
          </w:p>
        </w:tc>
      </w:tr>
      <w:tr>
        <w:trPr>
          <w:trHeight w:val="732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opisuje i wyjaśnia związek między ciągiem Fibonacciego a złotą proporcją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samodzielnie wyszukuje informacje na temat ciągu Fibonacciego i złotej proporcji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kern w:val="0"/>
                <w:sz w:val="20"/>
                <w:szCs w:val="22"/>
                <w:lang w:val="pl-PL" w:eastAsia="en-US" w:bidi="ar-SA"/>
              </w:rPr>
              <w:t>4.2</w:t>
            </w:r>
          </w:p>
        </w:tc>
        <w:tc>
          <w:tcPr>
            <w:tcW w:w="168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409" w:leader="none"/>
                <w:tab w:val="left" w:pos="1449" w:leader="none"/>
              </w:tabs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2"/>
                <w:lang w:val="pl-PL" w:eastAsia="en-US" w:bidi="ar-SA"/>
              </w:rPr>
              <w:t>Kości zostały rzucone</w:t>
            </w:r>
          </w:p>
        </w:tc>
        <w:tc>
          <w:tcPr>
            <w:tcW w:w="3475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>Wykorzystanie funkcji losowych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>w arkuszu kalkulacyjnym. Przeprowadzanie symulacji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>procesu o losowym przebiegu.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wyjaśnia, czym jest doświadczenie losowe, i używa prostej funkcji losującej</w:t>
            </w:r>
          </w:p>
        </w:tc>
      </w:tr>
      <w:tr>
        <w:trPr>
          <w:trHeight w:val="732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korzysta z funkcji losowych w arkuszu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trafnie ocenia wynik prostego doświadczenia losowego</w:t>
            </w:r>
          </w:p>
        </w:tc>
      </w:tr>
      <w:tr>
        <w:trPr>
          <w:trHeight w:val="732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przeprowadza zadaną symulację prostego doświadczenia z użyciem funkcji losującej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wykonuje wykres wyników doświadczenia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samodzielnie planuje i przeprowadza symulację procesu o losowym przebiegu</w:t>
            </w:r>
          </w:p>
        </w:tc>
      </w:tr>
      <w:tr>
        <w:trPr>
          <w:trHeight w:val="733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samodzielnie planuje obliczenia i formułuje wnioski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proponuje doświadczenie losowe i zawczasu ocenia jego przebieg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91"/>
        <w:gridCol w:w="1688"/>
        <w:gridCol w:w="3475"/>
        <w:gridCol w:w="1133"/>
        <w:gridCol w:w="7514"/>
      </w:tblGrid>
      <w:tr>
        <w:trPr>
          <w:trHeight w:val="1020" w:hRule="exact"/>
        </w:trPr>
        <w:tc>
          <w:tcPr>
            <w:tcW w:w="7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83" w:hRule="atLeast"/>
        </w:trPr>
        <w:tc>
          <w:tcPr>
            <w:tcW w:w="791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kern w:val="0"/>
                <w:sz w:val="20"/>
                <w:szCs w:val="22"/>
                <w:lang w:val="pl-PL" w:eastAsia="en-US" w:bidi="ar-SA"/>
              </w:rPr>
              <w:t>4.3</w:t>
            </w:r>
          </w:p>
        </w:tc>
        <w:tc>
          <w:tcPr>
            <w:tcW w:w="168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2"/>
                <w:lang w:val="pl-PL" w:eastAsia="en-US" w:bidi="ar-SA"/>
              </w:rPr>
              <w:t xml:space="preserve">Fraktale </w:t>
              <w:br/>
              <w:t xml:space="preserve">w Scratchu </w:t>
              <w:br/>
              <w:t>i w Pythonie</w:t>
            </w:r>
          </w:p>
        </w:tc>
        <w:tc>
          <w:tcPr>
            <w:tcW w:w="3475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>Fraktale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2"/>
                <w:lang w:val="pl-PL" w:eastAsia="en-US" w:bidi="ar-SA"/>
              </w:rPr>
              <w:t xml:space="preserve">. Rysowanie drzewa binarnego regularnego i losowego w Scratchu </w:t>
              <w:br/>
              <w:t>i w Pythonie.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opisuje pojęcie fraktala i podaje przykłady fraktali</w:t>
            </w:r>
          </w:p>
        </w:tc>
      </w:tr>
      <w:tr>
        <w:trPr>
          <w:trHeight w:val="2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opisuje budowę regularnego drzewa binarnego</w:t>
            </w:r>
          </w:p>
        </w:tc>
      </w:tr>
      <w:tr>
        <w:trPr>
          <w:trHeight w:val="2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dostatecznej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analizuje rekurencyjny algorytm rysowania drzewa binarnego zapisany w Scratchu</w:t>
            </w:r>
          </w:p>
        </w:tc>
      </w:tr>
      <w:tr>
        <w:trPr>
          <w:trHeight w:val="2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tworzy program rysujący drzewo binarne w Pythonie</w:t>
            </w:r>
          </w:p>
        </w:tc>
      </w:tr>
      <w:tr>
        <w:trPr>
          <w:trHeight w:val="732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bardzo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dokonuje zmian w algorytmie przez wprowadzenie losowości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realizuje zmodyfikowany algorytm w Pythonie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kern w:val="0"/>
                <w:sz w:val="20"/>
                <w:szCs w:val="22"/>
                <w:lang w:val="pl-PL" w:eastAsia="en-US" w:bidi="ar-SA"/>
              </w:rPr>
              <w:t>4.4</w:t>
            </w:r>
          </w:p>
        </w:tc>
        <w:tc>
          <w:tcPr>
            <w:tcW w:w="168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right="362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2"/>
                <w:lang w:val="pl-PL" w:eastAsia="en-US" w:bidi="ar-SA"/>
              </w:rPr>
              <w:t xml:space="preserve">Fraktale </w:t>
              <w:br/>
              <w:t>w smartfonie</w:t>
            </w:r>
          </w:p>
        </w:tc>
        <w:tc>
          <w:tcPr>
            <w:tcW w:w="3475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>Rysowanie płatka Kocha w środowisku App Lab. Rysowanie trójkąta Sierpińskiego w środowisku App Lab.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opisuje budowę jednego z fraktali: trójkąta Sierpińskiego lub płatka Kocha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opisuje budowę trójkąta Sierpińskiego i płatka Kocha</w:t>
            </w:r>
          </w:p>
        </w:tc>
      </w:tr>
      <w:tr>
        <w:trPr>
          <w:trHeight w:val="2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dostatecznej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analizuje algorytmy rekurencyjne tworzenia fraktali w Scratchu</w:t>
            </w:r>
          </w:p>
        </w:tc>
      </w:tr>
      <w:tr>
        <w:trPr>
          <w:trHeight w:val="2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tworzy aplikację rysującą jeden z fraktali w środowisku App Lab</w:t>
            </w:r>
          </w:p>
        </w:tc>
      </w:tr>
      <w:tr>
        <w:trPr>
          <w:trHeight w:val="2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bardzo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tworzy w środowisku App Lab aplikację według własnego pomysłu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kern w:val="0"/>
                <w:sz w:val="20"/>
                <w:szCs w:val="22"/>
                <w:lang w:val="pl-PL" w:eastAsia="en-US" w:bidi="ar-SA"/>
              </w:rPr>
              <w:t>4.5</w:t>
            </w:r>
          </w:p>
        </w:tc>
        <w:tc>
          <w:tcPr>
            <w:tcW w:w="168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2"/>
                <w:lang w:val="pl-PL" w:eastAsia="en-US" w:bidi="ar-SA"/>
              </w:rPr>
              <w:t>Laboratorium pomiarów</w:t>
            </w:r>
          </w:p>
        </w:tc>
        <w:tc>
          <w:tcPr>
            <w:tcW w:w="34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right="215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 xml:space="preserve">Programowanie płytki micro:bit </w:t>
              <w:br/>
              <w:t>za pomocą bloków w środowisku MakeCode. Aplikacja mobilna Phyphox i możliwości wykonywania pomiarów za pomocą telefonu.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opisuje budowę płytki micro:bit</w:t>
            </w:r>
          </w:p>
        </w:tc>
      </w:tr>
      <w:tr>
        <w:trPr>
          <w:trHeight w:val="732" w:hRule="atLeast"/>
        </w:trPr>
        <w:tc>
          <w:tcPr>
            <w:tcW w:w="791" w:type="dxa"/>
            <w:vMerge w:val="continue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programuje płytkę micro:bit w środowisku MakeCode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opisuje aplikację Phyphox</w:t>
            </w:r>
          </w:p>
        </w:tc>
      </w:tr>
      <w:tr>
        <w:trPr>
          <w:trHeight w:val="732" w:hRule="atLeast"/>
        </w:trPr>
        <w:tc>
          <w:tcPr>
            <w:tcW w:w="791" w:type="dxa"/>
            <w:vMerge w:val="continue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wykonuje pomiary za pomocą płytki micro:bit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instaluje na urządzeniu mobilnym aplikację Phyphox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continue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wykorzystuje aplikację Phyphox do wykonywania pomiarów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planuje i wykonuje pomiary według własnych pomysłów</w:t>
            </w:r>
          </w:p>
        </w:tc>
      </w:tr>
      <w:tr>
        <w:trPr>
          <w:trHeight w:val="1020" w:hRule="exact"/>
        </w:trPr>
        <w:tc>
          <w:tcPr>
            <w:tcW w:w="7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kern w:val="0"/>
                <w:sz w:val="20"/>
                <w:szCs w:val="22"/>
                <w:lang w:val="pl-PL" w:eastAsia="en-US" w:bidi="ar-SA"/>
              </w:rPr>
              <w:t>4.6</w:t>
            </w:r>
          </w:p>
        </w:tc>
        <w:tc>
          <w:tcPr>
            <w:tcW w:w="168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2"/>
                <w:lang w:val="pl-PL" w:eastAsia="en-US" w:bidi="ar-SA"/>
              </w:rPr>
              <w:t xml:space="preserve">Podróże </w:t>
              <w:br/>
              <w:t>z komputerem</w:t>
            </w:r>
          </w:p>
        </w:tc>
        <w:tc>
          <w:tcPr>
            <w:tcW w:w="3475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right="53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 xml:space="preserve">Korzystanie z map internetowych </w:t>
              <w:br/>
              <w:t xml:space="preserve">w komputerze i smartfonie. Wykorzystanie serwisów mapowych </w:t>
              <w:br/>
              <w:t>do planowania własnej aktywności.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wskazuje serwisy i aplikacje zawierające mapy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w podstawowym zakresie korzysta z różnorodnych serwisów zawierających mapy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korzysta z serwisów zawierających mapy i przy ich pomocy planuje podróż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wyjaśnia, czym są GIS i GPS</w:t>
            </w:r>
          </w:p>
        </w:tc>
      </w:tr>
      <w:tr>
        <w:trPr>
          <w:trHeight w:val="732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aktywnie korzysta z serwisów mapowych, wykorzystując je do planowania własnych aktywności i przesyłania informacji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bardzo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samodzielnie planuje podróż, porównuje i weryfikuje dane z różnych serwisów</w:t>
            </w:r>
          </w:p>
        </w:tc>
      </w:tr>
      <w:tr>
        <w:trPr>
          <w:trHeight w:val="398" w:hRule="atLeast"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color="auto" w:fill="25408F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5. Lekcje w sieci</w:t>
            </w:r>
          </w:p>
        </w:tc>
      </w:tr>
      <w:tr>
        <w:trPr>
          <w:trHeight w:val="283" w:hRule="atLeast"/>
        </w:trPr>
        <w:tc>
          <w:tcPr>
            <w:tcW w:w="791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kern w:val="0"/>
                <w:sz w:val="20"/>
                <w:szCs w:val="22"/>
                <w:lang w:val="pl-PL" w:eastAsia="en-US" w:bidi="ar-SA"/>
              </w:rPr>
              <w:t>5.1</w:t>
            </w:r>
          </w:p>
        </w:tc>
        <w:tc>
          <w:tcPr>
            <w:tcW w:w="168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231F20"/>
                <w:kern w:val="0"/>
                <w:sz w:val="20"/>
                <w:szCs w:val="22"/>
                <w:lang w:val="pl-PL" w:eastAsia="en-US" w:bidi="ar-SA"/>
              </w:rPr>
              <w:t>Rozwijaj</w:t>
            </w: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2"/>
                <w:lang w:val="pl-PL" w:eastAsia="en-US" w:bidi="ar-SA"/>
              </w:rPr>
              <w:t xml:space="preserve"> zainteresowania</w:t>
              <w:br/>
              <w:t>w sieci</w:t>
            </w:r>
          </w:p>
        </w:tc>
        <w:tc>
          <w:tcPr>
            <w:tcW w:w="3475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right="142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>Serwisy wspomagające samodzielną naukę i rozwijanie zainteresowań – platforma Zooniverse.org, Scistarter, portale TED.com i Ed.TED.com.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w podstawowym zakresie korzysta ze wskazanych aplikacji i serwisów</w:t>
            </w:r>
          </w:p>
        </w:tc>
      </w:tr>
      <w:tr>
        <w:trPr>
          <w:trHeight w:val="283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w pełnym zakresie korzysta ze wskazanych aplikacji i serwisów</w:t>
            </w:r>
          </w:p>
        </w:tc>
      </w:tr>
      <w:tr>
        <w:trPr>
          <w:trHeight w:val="732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dostatecznej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 xml:space="preserve">korzysta z samodzielnie znalezionych aplikacji i serwisów wspomagających naukę </w:t>
              <w:br/>
              <w:t>i rozwijających zainteresowania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buduje własną bazę wiedzy</w:t>
            </w:r>
          </w:p>
        </w:tc>
      </w:tr>
      <w:tr>
        <w:trPr>
          <w:trHeight w:val="732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bardzo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prezentuje w klasie wyszukane aplikacje i serwisy wspomagające naukę i rozwijające zainteresowania i poddaje je krytycznej ocenie pod kątem użytkowości oraz przydatności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91"/>
        <w:gridCol w:w="1688"/>
        <w:gridCol w:w="3475"/>
        <w:gridCol w:w="1133"/>
        <w:gridCol w:w="7514"/>
      </w:tblGrid>
      <w:tr>
        <w:trPr>
          <w:trHeight w:val="1020" w:hRule="exact"/>
        </w:trPr>
        <w:tc>
          <w:tcPr>
            <w:tcW w:w="7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color w:val="231F20"/>
                <w:kern w:val="0"/>
                <w:sz w:val="20"/>
                <w:szCs w:val="22"/>
                <w:lang w:val="pl-PL" w:eastAsia="en-US" w:bidi="ar-SA"/>
              </w:rPr>
              <w:t>5.2</w:t>
            </w:r>
          </w:p>
        </w:tc>
        <w:tc>
          <w:tcPr>
            <w:tcW w:w="168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2"/>
                <w:lang w:val="pl-PL" w:eastAsia="en-US" w:bidi="ar-SA"/>
              </w:rPr>
              <w:t xml:space="preserve">Ucz się informatyki </w:t>
              <w:br/>
              <w:t>w sieci</w:t>
            </w:r>
          </w:p>
        </w:tc>
        <w:tc>
          <w:tcPr>
            <w:tcW w:w="3475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right="142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 xml:space="preserve">E-learning. Kursy MOOC. Wykorzystanie Akademii Khana </w:t>
              <w:br/>
              <w:t>do samodzielnej nauki. Zasoby Akademii Khana w dziedzinie informatyki.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przegląda kursy udostępnione w Akademii Khana</w:t>
            </w:r>
          </w:p>
        </w:tc>
      </w:tr>
      <w:tr>
        <w:trPr>
          <w:trHeight w:val="2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dopuszczającej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opisuje, na czym polegają kursy MOOC</w:t>
            </w:r>
          </w:p>
        </w:tc>
      </w:tr>
      <w:tr>
        <w:trPr>
          <w:trHeight w:val="2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dostatecznej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korzysta z portalu e-learningowego Akademii Khana</w:t>
            </w:r>
          </w:p>
        </w:tc>
      </w:tr>
      <w:tr>
        <w:trPr>
          <w:trHeight w:val="2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kern w:val="0"/>
                <w:sz w:val="20"/>
                <w:szCs w:val="20"/>
                <w:lang w:val="pl-PL" w:eastAsia="en-US" w:bidi="ar-SA"/>
              </w:rPr>
              <w:t>analizuje i wybiera stosownie do zainteresowań kursy w Akademii Khana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bardzo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podejmuje samodzielną naukę w Akademii Khana lub uczestniczy w kursie MOOC</w:t>
            </w:r>
          </w:p>
        </w:tc>
      </w:tr>
      <w:tr>
        <w:trPr>
          <w:trHeight w:val="283" w:hRule="atLeast"/>
        </w:trPr>
        <w:tc>
          <w:tcPr>
            <w:tcW w:w="791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kern w:val="0"/>
                <w:sz w:val="20"/>
                <w:szCs w:val="22"/>
                <w:lang w:val="pl-PL" w:eastAsia="en-US" w:bidi="ar-SA"/>
              </w:rPr>
              <w:t>5.3</w:t>
            </w:r>
          </w:p>
        </w:tc>
        <w:tc>
          <w:tcPr>
            <w:tcW w:w="168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362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2"/>
                <w:lang w:val="pl-PL" w:eastAsia="en-US" w:bidi="ar-SA"/>
              </w:rPr>
              <w:t>Tak daleko, tak blisko</w:t>
            </w:r>
          </w:p>
        </w:tc>
        <w:tc>
          <w:tcPr>
            <w:tcW w:w="3475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 xml:space="preserve">Zakładanie konta na stronie programu Mikogo. Rozpoczynanie sesji </w:t>
              <w:br/>
              <w:t>i zapraszanie do współpracy innych użytkowników programu.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z pomocą nauczyciela tworzy konto na stronie programu Mikogo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samodzielnie tworzy konto na stronie programu Mikogo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dołącza do istniejącej sesji z wykorzystaniem programu Mikogo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dostatecznej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inicjuje sesję i zaprasza do współpracy innych użytkowników programu Mikogo</w:t>
            </w:r>
          </w:p>
        </w:tc>
      </w:tr>
      <w:tr>
        <w:trPr>
          <w:trHeight w:val="732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udostępnia pulpit innym uczestnikom sesji w programie Mikogo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aktywnie uczestniczy we wspólnej pracy nad projektem w programie Mikogo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Cs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Cs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bardzo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koordynuje pracą zespołu nad wspólnym projektem w programie Mikogo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91"/>
        <w:gridCol w:w="1688"/>
        <w:gridCol w:w="3475"/>
        <w:gridCol w:w="1133"/>
        <w:gridCol w:w="7514"/>
      </w:tblGrid>
      <w:tr>
        <w:trPr>
          <w:trHeight w:val="1020" w:hRule="exact"/>
        </w:trPr>
        <w:tc>
          <w:tcPr>
            <w:tcW w:w="791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Nr </w:t>
              <w:br/>
              <w:t>lekcji</w:t>
            </w:r>
          </w:p>
        </w:tc>
        <w:tc>
          <w:tcPr>
            <w:tcW w:w="1688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Temat </w:t>
              <w:br/>
              <w:t>lekcji</w:t>
            </w:r>
          </w:p>
        </w:tc>
        <w:tc>
          <w:tcPr>
            <w:tcW w:w="3475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 xml:space="preserve">Omawiane </w:t>
              <w:br/>
              <w:t>zagadnienia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Ocena</w:t>
            </w:r>
          </w:p>
        </w:tc>
        <w:tc>
          <w:tcPr>
            <w:tcW w:w="7514" w:type="dxa"/>
            <w:tcBorders>
              <w:left w:val="single" w:sz="4" w:space="0" w:color="FFFFFF"/>
              <w:right w:val="single" w:sz="4" w:space="0" w:color="FFFFFF"/>
            </w:tcBorders>
            <w:shd w:color="auto" w:fill="F7941D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701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asciiTheme="minorHAnsi" w:hAnsiTheme="minorHAnsi"/>
                <w:b/>
                <w:b/>
                <w:sz w:val="24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FFFFFF"/>
                <w:kern w:val="0"/>
                <w:sz w:val="24"/>
                <w:szCs w:val="22"/>
                <w:lang w:val="pl-PL" w:eastAsia="en-US" w:bidi="ar-SA"/>
              </w:rPr>
              <w:t>Zgodnie z wymaganiami programowymi uczeń:</w:t>
            </w:r>
          </w:p>
        </w:tc>
      </w:tr>
      <w:tr>
        <w:trPr>
          <w:trHeight w:val="227" w:hRule="atLeast"/>
        </w:trPr>
        <w:tc>
          <w:tcPr>
            <w:tcW w:w="791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kern w:val="0"/>
                <w:sz w:val="20"/>
                <w:szCs w:val="22"/>
                <w:lang w:val="pl-PL" w:eastAsia="en-US" w:bidi="ar-SA"/>
              </w:rPr>
              <w:t>5.4</w:t>
            </w:r>
          </w:p>
        </w:tc>
        <w:tc>
          <w:tcPr>
            <w:tcW w:w="168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color w:val="231F20"/>
                <w:kern w:val="0"/>
                <w:sz w:val="20"/>
                <w:szCs w:val="22"/>
                <w:lang w:val="pl-PL" w:eastAsia="en-US" w:bidi="ar-SA"/>
              </w:rPr>
              <w:t xml:space="preserve">Ze smartfonem </w:t>
              <w:br/>
              <w:t>na piechotę</w:t>
            </w:r>
          </w:p>
        </w:tc>
        <w:tc>
          <w:tcPr>
            <w:tcW w:w="3475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-1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color w:val="231F20"/>
                <w:kern w:val="0"/>
                <w:sz w:val="20"/>
                <w:szCs w:val="22"/>
                <w:lang w:val="pl-PL" w:eastAsia="en-US" w:bidi="ar-SA"/>
              </w:rPr>
              <w:t xml:space="preserve">Planowanie i dokumentowanie </w:t>
              <w:br/>
              <w:t xml:space="preserve">wycieczki z wykorzystaniem </w:t>
              <w:br/>
              <w:t>urządzenia mobilnego. Publikowanie trasy wycieczki w internecie.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kern w:val="0"/>
                <w:lang w:val="pl-PL" w:eastAsia="en-US" w:bidi="ar-SA"/>
              </w:rPr>
              <w:t>z pomocą nauczyciela instaluje aplikację Traseo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samodzielnie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 xml:space="preserve"> instaluje aplikację Traseo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omawia podstawowe punkty regulaminu korzystania z usługi Traseo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kern w:val="0"/>
                <w:lang w:val="pl-PL" w:eastAsia="en-US" w:bidi="ar-SA"/>
              </w:rPr>
              <w:t>z pomocą nauczyciela tworzy konto w aplikacji Traseo</w:t>
            </w:r>
          </w:p>
        </w:tc>
      </w:tr>
      <w:tr>
        <w:trPr>
          <w:trHeight w:val="732" w:hRule="atLeast"/>
        </w:trPr>
        <w:tc>
          <w:tcPr>
            <w:tcW w:w="791" w:type="dxa"/>
            <w:vMerge w:val="continue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samodzielnie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 xml:space="preserve"> instaluje aplikację Traseo i</w:t>
            </w: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tworzy swoje konto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z pomocą nauczyciela rejestruje i publikuje przebytą trasę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podczas rejestracji trasy zaznacza ciekawe miejsca na mapie i dodaje zdjęcia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spełnia kryteria oceny dobrej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eastAsia="Calibri" w:cs="Arial Narrow"/>
                <w:color w:val="000000"/>
                <w:kern w:val="0"/>
                <w:sz w:val="20"/>
                <w:szCs w:val="20"/>
                <w:lang w:val="pl-PL" w:eastAsia="en-US" w:bidi="ar-SA"/>
              </w:rPr>
              <w:t>samodzielnie rejestruje i publikuje przebytą trasę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continue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bardzo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opisuje zarejestrowaną i opublikowaną trasę, stosując trafne i wyczerpujące komentarze</w:t>
            </w:r>
          </w:p>
        </w:tc>
      </w:tr>
      <w:tr>
        <w:trPr>
          <w:trHeight w:val="510" w:hRule="atLeast"/>
        </w:trPr>
        <w:tc>
          <w:tcPr>
            <w:tcW w:w="791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Cs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Cs/>
                <w:kern w:val="0"/>
                <w:sz w:val="20"/>
                <w:szCs w:val="22"/>
                <w:lang w:val="pl-PL" w:eastAsia="en-US" w:bidi="ar-SA"/>
              </w:rPr>
              <w:t>5.5</w:t>
            </w:r>
          </w:p>
        </w:tc>
        <w:tc>
          <w:tcPr>
            <w:tcW w:w="168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2"/>
                <w:lang w:val="pl-PL" w:eastAsia="en-US" w:bidi="ar-SA"/>
              </w:rPr>
              <w:t>Rozszerzona rzeczywistość</w:t>
            </w:r>
          </w:p>
        </w:tc>
        <w:tc>
          <w:tcPr>
            <w:tcW w:w="3475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53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>Technologia rozszerzonej rzeczywistości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53" w:hanging="0"/>
              <w:jc w:val="left"/>
              <w:rPr>
                <w:rFonts w:ascii="Calibri" w:hAnsi="Calibri" w:asciiTheme="minorHAnsi" w:hAnsiTheme="minorHAnsi"/>
                <w:sz w:val="20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2"/>
                <w:lang w:val="pl-PL" w:eastAsia="en-US" w:bidi="ar-SA"/>
              </w:rPr>
              <w:t>i jej zastosowanie. Wybrane aplikacje wykorzystujące technologię rozszerzonej rzeczywistości.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514" w:type="dxa"/>
            <w:tcBorders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wyjaśnia znaczenie pojęcia rozszerzona rzeczywistość i skrótowca AR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wyszukuje i opisuje omawiane na lekcji aplikacje</w:t>
            </w:r>
          </w:p>
        </w:tc>
      </w:tr>
      <w:tr>
        <w:trPr>
          <w:trHeight w:val="732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korzysta z technologii AR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odróżnia rozszerzoną rzeczywistość od rzeczywistości wirtualnej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instaluje omawiane na lekcji aplikacje</w:t>
            </w:r>
          </w:p>
        </w:tc>
      </w:tr>
      <w:tr>
        <w:trPr>
          <w:trHeight w:val="732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dostatecznej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podaje przykłady wykorzystania technologii AR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wykorzystuje aplikacje, np. wykonuje zdjęcia w aplikacji Spacecraft 3D</w:t>
            </w:r>
          </w:p>
        </w:tc>
      </w:tr>
      <w:tr>
        <w:trPr>
          <w:trHeight w:val="732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podaje przykłady sytuacji, w których zastosowanie technologii AR byłoby przydatne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wyszukuje i obsługuje inne aplikacje wykorzystujące technologię AR</w:t>
            </w:r>
          </w:p>
        </w:tc>
      </w:tr>
      <w:tr>
        <w:trPr>
          <w:trHeight w:val="737" w:hRule="atLeast"/>
        </w:trPr>
        <w:tc>
          <w:tcPr>
            <w:tcW w:w="791" w:type="dxa"/>
            <w:vMerge w:val="continue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1688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b/>
                <w:b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b/>
                <w:sz w:val="20"/>
                <w:lang w:val="pl-PL"/>
              </w:rPr>
            </w:r>
          </w:p>
        </w:tc>
        <w:tc>
          <w:tcPr>
            <w:tcW w:w="3475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gendaPl RegularCondensed" w:cs="AgendaPl RegularCondensed"/>
                <w:sz w:val="20"/>
                <w:lang w:val="pl-PL"/>
              </w:rPr>
            </w:pPr>
            <w:r>
              <w:rPr>
                <w:rFonts w:eastAsia="AgendaPl RegularCondensed" w:cs="AgendaPl RegularCondensed"/>
                <w:sz w:val="20"/>
                <w:lang w:val="pl-PL"/>
              </w:rPr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eastAsia="Calibri" w:cs=""/>
                <w:color w:val="231F20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</w:tcBorders>
          </w:tcPr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lang w:val="pl-PL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spełnia kryteria oceny bardzo dobrej</w:t>
            </w:r>
          </w:p>
          <w:p>
            <w:pPr>
              <w:pStyle w:val="0tabelakropkitabel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 w:asciiTheme="minorHAnsi" w:hAnsiTheme="minorHAnsi"/>
                <w:lang w:val="pl-PL" w:eastAsia="en-US"/>
              </w:rPr>
            </w:pPr>
            <w:r>
              <w:rPr>
                <w:rFonts w:ascii="Calibri" w:hAnsi="Calibri" w:asciiTheme="minorHAnsi" w:hAnsiTheme="minorHAnsi"/>
                <w:kern w:val="0"/>
                <w:lang w:val="pl-PL" w:eastAsia="en-US" w:bidi="ar-SA"/>
              </w:rPr>
              <w:t>samodzielnie wyszukuje aplikacje wykorzystujące technologię AR, instaluje je i omawia ich możliwości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820" w:header="0" w:top="1560" w:footer="0" w:bottom="84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gendaPl RegularCondensed"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ee"/>
    <w:family w:val="roman"/>
    <w:pitch w:val="variable"/>
  </w:font>
  <w:font w:name="Courier">
    <w:altName w:val="Courier New"/>
    <w:charset w:val="ee"/>
    <w:family w:val="roman"/>
    <w:pitch w:val="variable"/>
  </w:font>
  <w:font w:name="AgendaPl RegularCondensed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hanging="0"/>
      <w:rPr/>
    </w:pPr>
    <w:r>
      <mc:AlternateContent>
        <mc:Choice Requires="wps">
          <w:drawing>
            <wp:anchor behindDoc="1" distT="0" distB="0" distL="0" distR="0" simplePos="0" locked="0" layoutInCell="0" allowOverlap="1" relativeHeight="14" wp14:anchorId="753D3976">
              <wp:simplePos x="0" y="0"/>
              <wp:positionH relativeFrom="column">
                <wp:posOffset>-330200</wp:posOffset>
              </wp:positionH>
              <wp:positionV relativeFrom="paragraph">
                <wp:posOffset>1270</wp:posOffset>
              </wp:positionV>
              <wp:extent cx="9546590" cy="1270"/>
              <wp:effectExtent l="0" t="0" r="17780" b="19050"/>
              <wp:wrapNone/>
              <wp:docPr id="1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61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pt,0.1pt" to="725.6pt,0.1pt" ID="Łącznik prostoliniowy 3" stroked="t" style="position:absolute" wp14:anchorId="753D3976">
              <v:stroke color="#f09120" weight="19080" joinstyle="round" endcap="flat"/>
              <v:fill o:detectmouseclick="t" on="false"/>
            </v:line>
          </w:pict>
        </mc:Fallback>
      </mc:AlternateContent>
    </w:r>
    <w:r>
      <w:rPr/>
      <w:tab/>
      <w:tab/>
      <w:tab/>
      <w:tab/>
    </w:r>
  </w:p>
  <w:p>
    <w:pPr>
      <w:pStyle w:val="Stopka"/>
      <w:tabs>
        <w:tab w:val="clear" w:pos="4536"/>
        <w:tab w:val="clear" w:pos="9072"/>
      </w:tabs>
      <w:ind w:left="-1417" w:hanging="0"/>
      <w:rPr>
        <w:lang w:eastAsia="pl-PL"/>
      </w:rPr>
    </w:pPr>
    <w:r>
      <w:rPr>
        <w:lang w:eastAsia="pl-PL"/>
      </w:rPr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>
        <w:i/>
        <w:i/>
      </w:rPr>
    </w:pPr>
    <w:r>
      <w:rPr>
        <w:i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227" w:hanging="170"/>
      </w:pPr>
      <w:rPr>
        <w:rFonts w:ascii="AgendaPl RegularCondensed" w:hAnsi="AgendaPl RegularCondensed" w:cs="AgendaPl RegularCondense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227" w:hanging="170"/>
      </w:pPr>
      <w:rPr>
        <w:rFonts w:ascii="AgendaPl RegularCondensed" w:hAnsi="AgendaPl RegularCondensed" w:cs="AgendaPl RegularCondense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45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185c87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185c8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5d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51a3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51a32"/>
    <w:rPr>
      <w:sz w:val="20"/>
      <w:szCs w:val="20"/>
    </w:rPr>
  </w:style>
  <w:style w:type="character" w:styleId="Nagwek1Znak" w:customStyle="1">
    <w:name w:val="Nagłówek 1 Znak"/>
    <w:basedOn w:val="DefaultParagraphFont"/>
    <w:link w:val="Nagwek1"/>
    <w:qFormat/>
    <w:rsid w:val="00185c87"/>
    <w:rPr>
      <w:rFonts w:ascii="Times New Roman" w:hAnsi="Times New Roman" w:eastAsia="Times New Roman" w:cs="Times New Roman"/>
      <w:sz w:val="24"/>
      <w:szCs w:val="24"/>
      <w:u w:val="single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85c8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85c87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85c87"/>
    <w:rPr>
      <w:i/>
      <w:iCs/>
      <w:color w:val="808080" w:themeColor="text1" w:themeTint="7f"/>
    </w:rPr>
  </w:style>
  <w:style w:type="character" w:styleId="0AgendaBoldCondensed" w:customStyle="1">
    <w:name w:val="0_Agenda_BoldCondensed"/>
    <w:uiPriority w:val="99"/>
    <w:qFormat/>
    <w:rsid w:val="00185c87"/>
    <w:rPr>
      <w:b/>
      <w:bCs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951a32"/>
    <w:pPr>
      <w:widowControl w:val="false"/>
      <w:spacing w:lineRule="auto" w:line="240" w:before="0" w:after="0"/>
      <w:ind w:left="108" w:hanging="0"/>
    </w:pPr>
    <w:rPr>
      <w:rFonts w:ascii="AgendaPl RegularCondensed" w:hAnsi="AgendaPl RegularCondensed" w:eastAsia="AgendaPl RegularCondensed" w:cs="AgendaPl RegularCondensed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51a32"/>
    <w:pPr>
      <w:spacing w:lineRule="auto" w:line="240"/>
    </w:pPr>
    <w:rPr>
      <w:sz w:val="20"/>
      <w:szCs w:val="20"/>
    </w:rPr>
  </w:style>
  <w:style w:type="paragraph" w:styleId="Nag42f3wek1" w:customStyle="1">
    <w:name w:val="Nagł42óf3wek 1"/>
    <w:basedOn w:val="Normal"/>
    <w:uiPriority w:val="99"/>
    <w:qFormat/>
    <w:rsid w:val="00951a32"/>
    <w:pPr>
      <w:keepNext w:val="true"/>
      <w:spacing w:lineRule="auto" w:line="240" w:before="240" w:after="120"/>
    </w:pPr>
    <w:rPr>
      <w:rFonts w:ascii="Liberation Sans" w:hAnsi="Liberation Sans" w:eastAsia="Times New Roman" w:cs="Liberation Sans"/>
      <w:b/>
      <w:bCs/>
      <w:color w:val="000000"/>
      <w:kern w:val="2"/>
      <w:sz w:val="24"/>
      <w:szCs w:val="24"/>
      <w:lang w:eastAsia="pl-PL"/>
    </w:rPr>
  </w:style>
  <w:style w:type="paragraph" w:styleId="Msonormal" w:customStyle="1">
    <w:name w:val="msonormal"/>
    <w:basedOn w:val="Normal"/>
    <w:semiHidden/>
    <w:qFormat/>
    <w:rsid w:val="00185c87"/>
    <w:pPr>
      <w:spacing w:lineRule="auto" w:line="240" w:beforeAutospacing="1" w:afterAutospacing="1"/>
    </w:pPr>
    <w:rPr>
      <w:rFonts w:ascii="Arial Unicode MS" w:hAnsi="Arial Unicode MS" w:eastAsia="Arial Unicode MS" w:cs="Times New Roman"/>
      <w:sz w:val="24"/>
      <w:szCs w:val="24"/>
      <w:lang w:eastAsia="pl-PL"/>
    </w:rPr>
  </w:style>
  <w:style w:type="paragraph" w:styleId="NormalWeb">
    <w:name w:val="Normal (Web)"/>
    <w:basedOn w:val="Normal"/>
    <w:semiHidden/>
    <w:unhideWhenUsed/>
    <w:qFormat/>
    <w:rsid w:val="00185c87"/>
    <w:pPr>
      <w:spacing w:lineRule="auto" w:line="240" w:beforeAutospacing="1" w:afterAutospacing="1"/>
    </w:pPr>
    <w:rPr>
      <w:rFonts w:ascii="Arial Unicode MS" w:hAnsi="Arial Unicode MS" w:eastAsia="Arial Unicode MS" w:cs="Times New Roman"/>
      <w:sz w:val="24"/>
      <w:szCs w:val="24"/>
      <w:lang w:eastAsia="pl-P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85c87"/>
    <w:pPr/>
    <w:rPr>
      <w:b/>
      <w:bCs/>
    </w:rPr>
  </w:style>
  <w:style w:type="paragraph" w:styleId="0tabelakropkitabele" w:customStyle="1">
    <w:name w:val="0_tabela kropki (tabele)"/>
    <w:basedOn w:val="Normal"/>
    <w:uiPriority w:val="99"/>
    <w:semiHidden/>
    <w:qFormat/>
    <w:rsid w:val="00185c87"/>
    <w:pPr>
      <w:widowControl w:val="false"/>
      <w:suppressAutoHyphens w:val="true"/>
      <w:spacing w:lineRule="atLeast" w:line="260" w:before="0" w:after="0"/>
      <w:ind w:left="113" w:hanging="113"/>
    </w:pPr>
    <w:rPr>
      <w:rFonts w:ascii="Arial Narrow" w:hAnsi="Arial Narrow" w:eastAsia="Times New Roman" w:cs="Arial Narrow"/>
      <w:color w:val="000000"/>
      <w:sz w:val="20"/>
      <w:szCs w:val="20"/>
      <w:lang w:eastAsia="pl-PL"/>
    </w:rPr>
  </w:style>
  <w:style w:type="paragraph" w:styleId="0tabelatabele" w:customStyle="1">
    <w:name w:val="0_tabela (tabele)"/>
    <w:basedOn w:val="Normal"/>
    <w:uiPriority w:val="99"/>
    <w:semiHidden/>
    <w:qFormat/>
    <w:rsid w:val="00185c87"/>
    <w:pPr>
      <w:widowControl w:val="false"/>
      <w:suppressAutoHyphens w:val="true"/>
      <w:spacing w:lineRule="atLeast" w:line="260" w:before="0" w:after="0"/>
    </w:pPr>
    <w:rPr>
      <w:rFonts w:ascii="Arial Narrow" w:hAnsi="Arial Narrow" w:eastAsia="Times New Roman" w:cs="Arial Narrow"/>
      <w:color w:val="000000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951a32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22E9-F116-4405-82AF-131201A3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Application>LibreOffice/7.0.2.2$Windows_X86_64 LibreOffice_project/8349ace3c3162073abd90d81fd06dcfb6b36b994</Application>
  <Pages>13</Pages>
  <Words>3175</Words>
  <Characters>19250</Characters>
  <CharactersWithSpaces>21604</CharactersWithSpaces>
  <Paragraphs>619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2015-05-26T09:01:00Z</dcterms:created>
  <dc:creator>Marta Jedlinska</dc:creator>
  <dc:description/>
  <dc:language>pl-PL</dc:language>
  <cp:lastModifiedBy/>
  <dcterms:modified xsi:type="dcterms:W3CDTF">2024-04-17T06:23:14Z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