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C1" w:rsidRPr="00C6356C" w:rsidRDefault="00C742C4" w:rsidP="00714A8C">
      <w:pPr>
        <w:ind w:left="-567"/>
        <w:jc w:val="right"/>
        <w:rPr>
          <w:rFonts w:eastAsia="Calibri" w:cs="Arial"/>
          <w:b/>
          <w:color w:val="FF9933"/>
          <w:sz w:val="40"/>
        </w:rPr>
      </w:pPr>
      <w:bookmarkStart w:id="0" w:name="_GoBack"/>
      <w:bookmarkEnd w:id="0"/>
      <w:r>
        <w:rPr>
          <w:rFonts w:eastAsia="Calibri" w:cs="Arial"/>
          <w:b/>
          <w:color w:val="FF9933"/>
          <w:sz w:val="40"/>
        </w:rPr>
        <w:t>W</w:t>
      </w:r>
      <w:r w:rsidR="00753B0D" w:rsidRPr="00C6356C">
        <w:rPr>
          <w:rFonts w:eastAsia="Calibri" w:cs="Arial"/>
          <w:b/>
          <w:color w:val="FF9933"/>
          <w:sz w:val="40"/>
        </w:rPr>
        <w:t xml:space="preserve">ymagania </w:t>
      </w:r>
      <w:r>
        <w:rPr>
          <w:rFonts w:eastAsia="Calibri" w:cs="Arial"/>
          <w:b/>
          <w:color w:val="FF9933"/>
          <w:sz w:val="40"/>
        </w:rPr>
        <w:t>edukacyjne – klasa VII</w:t>
      </w:r>
      <w:r>
        <w:rPr>
          <w:rFonts w:eastAsia="Calibri" w:cs="Arial"/>
          <w:b/>
          <w:color w:val="FF9933"/>
          <w:sz w:val="40"/>
        </w:rPr>
        <w:tab/>
      </w:r>
      <w:r>
        <w:rPr>
          <w:rFonts w:eastAsia="Calibri" w:cs="Arial"/>
          <w:b/>
          <w:color w:val="FF9933"/>
          <w:sz w:val="40"/>
        </w:rPr>
        <w:tab/>
      </w:r>
      <w:r>
        <w:rPr>
          <w:rFonts w:eastAsia="Calibri" w:cs="Arial"/>
          <w:b/>
          <w:color w:val="FF9933"/>
          <w:sz w:val="40"/>
        </w:rPr>
        <w:tab/>
      </w:r>
      <w:r>
        <w:rPr>
          <w:rFonts w:eastAsia="Calibri" w:cs="Arial"/>
          <w:b/>
          <w:color w:val="FF9933"/>
          <w:sz w:val="40"/>
        </w:rPr>
        <w:tab/>
      </w:r>
      <w:r>
        <w:rPr>
          <w:rFonts w:eastAsia="Calibri" w:cs="Arial"/>
          <w:b/>
          <w:color w:val="FF9933"/>
          <w:sz w:val="40"/>
        </w:rPr>
        <w:tab/>
        <w:t>SP-11</w:t>
      </w:r>
    </w:p>
    <w:tbl>
      <w:tblPr>
        <w:tblStyle w:val="Tabela-Siatka"/>
        <w:tblW w:w="15276" w:type="dxa"/>
        <w:tblInd w:w="-567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>waniem niektórych 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przewiduje wzory strukturalne kwasów HClO,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strąceniowym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wzór ogólny szeregu homologicznego alkanoli;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alkoholi monohydroksylowych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lastRenderedPageBreak/>
              <w:t>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polihydroksylowe;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 tłuszczowych) nasyconych (palmitynowego,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r w:rsidR="002E6BBD">
              <w:rPr>
                <w:rFonts w:cs="Arial"/>
                <w:color w:val="000000"/>
                <w:sz w:val="20"/>
                <w:szCs w:val="20"/>
              </w:rPr>
              <w:t>monohydroksylowymi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cząsteczkach metanolu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porównuje budowę cząsteczek metanu, amoniaku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kwasów i zasad, soli metali ciężkich (np. CuSO</w:t>
            </w:r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doświadczenia pozwalające wykryć glukozę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aminooctowego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doświadczenia pozwalające w białku jaja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dipeptydu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na podstawie wzoru strukturalnego tri-, 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D2" w:rsidRDefault="00FF51D2" w:rsidP="00285D6F">
      <w:pPr>
        <w:spacing w:after="0" w:line="240" w:lineRule="auto"/>
      </w:pPr>
      <w:r>
        <w:separator/>
      </w:r>
    </w:p>
  </w:endnote>
  <w:endnote w:type="continuationSeparator" w:id="0">
    <w:p w:rsidR="00FF51D2" w:rsidRDefault="00FF51D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33" w:rsidRDefault="00220E33" w:rsidP="00714A8C">
    <w:pPr>
      <w:pStyle w:val="Stopka"/>
      <w:tabs>
        <w:tab w:val="clear" w:pos="9072"/>
        <w:tab w:val="right" w:pos="9639"/>
      </w:tabs>
      <w:spacing w:before="120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3F402" wp14:editId="0FB4906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9EB97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552B5" wp14:editId="5612B61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DE3B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20E33" w:rsidRDefault="00220E3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C3DD3">
      <w:rPr>
        <w:noProof/>
      </w:rPr>
      <w:t>2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D2" w:rsidRDefault="00FF51D2" w:rsidP="00285D6F">
      <w:pPr>
        <w:spacing w:after="0" w:line="240" w:lineRule="auto"/>
      </w:pPr>
      <w:r>
        <w:separator/>
      </w:r>
    </w:p>
  </w:footnote>
  <w:footnote w:type="continuationSeparator" w:id="0">
    <w:p w:rsidR="00FF51D2" w:rsidRDefault="00FF51D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33" w:rsidRDefault="00220E33" w:rsidP="00714A8C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AE88634" wp14:editId="657130C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B5394"/>
    <w:rsid w:val="005F048C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14A8C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742C4"/>
    <w:rsid w:val="00C93E8C"/>
    <w:rsid w:val="00CB2D5A"/>
    <w:rsid w:val="00CC3DD3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8238E-4848-438C-B4D3-0DFE084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24D-E71F-4E22-A5A9-B5B91D8A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Sylwia Mazur</cp:lastModifiedBy>
  <cp:revision>2</cp:revision>
  <cp:lastPrinted>2017-04-26T11:04:00Z</cp:lastPrinted>
  <dcterms:created xsi:type="dcterms:W3CDTF">2023-11-06T15:59:00Z</dcterms:created>
  <dcterms:modified xsi:type="dcterms:W3CDTF">2023-11-06T15:59:00Z</dcterms:modified>
</cp:coreProperties>
</file>