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2EC6" w14:textId="77777777"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14:paraId="2C2F4463" w14:textId="77777777"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14:paraId="2C5F575E" w14:textId="77777777"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14:paraId="60A77CF9" w14:textId="77777777"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14:paraId="1FD104A0" w14:textId="77777777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14:paraId="147255C5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1511CF8" w14:textId="77777777" w:rsidR="00456465" w:rsidRPr="00455235" w:rsidRDefault="00456465" w:rsidP="00FD20C7">
            <w:pPr>
              <w:spacing w:after="0" w:line="240" w:lineRule="auto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A80379">
              <w:rPr>
                <w:rFonts w:ascii="Arial" w:hAnsi="Arial" w:cs="Arial"/>
                <w:b/>
                <w:i/>
              </w:rPr>
              <w:t xml:space="preserve">Zespół </w:t>
            </w:r>
            <w:r w:rsidR="00FD20C7">
              <w:rPr>
                <w:rFonts w:ascii="Arial" w:hAnsi="Arial" w:cs="Arial"/>
                <w:b/>
                <w:i/>
              </w:rPr>
              <w:t xml:space="preserve">Szkolno-Przedszkolny nr 12 </w:t>
            </w:r>
            <w:r w:rsidR="00970835">
              <w:rPr>
                <w:rFonts w:ascii="Arial" w:hAnsi="Arial" w:cs="Arial"/>
              </w:rPr>
              <w:t>z</w:t>
            </w:r>
            <w:r w:rsidR="00FD20C7">
              <w:rPr>
                <w:rFonts w:ascii="Arial" w:hAnsi="Arial" w:cs="Arial"/>
              </w:rPr>
              <w:t xml:space="preserve"> </w:t>
            </w:r>
            <w:r w:rsidR="00970835">
              <w:rPr>
                <w:rFonts w:ascii="Arial" w:hAnsi="Arial" w:cs="Arial"/>
              </w:rPr>
              <w:t>siedzibą</w:t>
            </w:r>
            <w:r w:rsidR="00FD20C7">
              <w:rPr>
                <w:rFonts w:ascii="Arial" w:hAnsi="Arial" w:cs="Arial"/>
              </w:rPr>
              <w:t xml:space="preserve"> </w:t>
            </w:r>
            <w:r w:rsidR="00F86660">
              <w:rPr>
                <w:rFonts w:ascii="Arial" w:hAnsi="Arial" w:cs="Arial"/>
              </w:rPr>
              <w:t xml:space="preserve">w Poznaniu </w:t>
            </w:r>
            <w:r w:rsidR="00A80379">
              <w:rPr>
                <w:rFonts w:ascii="Arial" w:hAnsi="Arial" w:cs="Arial"/>
                <w:b/>
                <w:i/>
              </w:rPr>
              <w:t>os. Zwycięstwa 101, 61-652 Poznań</w:t>
            </w:r>
            <w:r w:rsidR="00A80379" w:rsidRPr="00982473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456465" w:rsidRPr="00455235" w14:paraId="7809E077" w14:textId="77777777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14:paraId="30AB4040" w14:textId="77777777"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CC993A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281F0A38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9D7D4C2" w14:textId="20E199C4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 w:rsidR="00A80379" w:rsidRPr="00040A70">
              <w:rPr>
                <w:rFonts w:ascii="Arial" w:hAnsi="Arial" w:cs="Arial"/>
                <w:b/>
                <w:i/>
              </w:rPr>
              <w:t>iod</w:t>
            </w:r>
            <w:r w:rsidR="004C32C7">
              <w:rPr>
                <w:rFonts w:ascii="Arial" w:hAnsi="Arial" w:cs="Arial"/>
                <w:b/>
                <w:i/>
              </w:rPr>
              <w:t>2</w:t>
            </w:r>
            <w:r w:rsidR="00A80379" w:rsidRPr="00040A70">
              <w:rPr>
                <w:rFonts w:ascii="Arial" w:hAnsi="Arial" w:cs="Arial"/>
                <w:b/>
                <w:i/>
              </w:rPr>
              <w:t>_</w:t>
            </w:r>
            <w:r w:rsidR="007C3B5C">
              <w:rPr>
                <w:rFonts w:ascii="Arial" w:hAnsi="Arial" w:cs="Arial"/>
                <w:b/>
                <w:i/>
              </w:rPr>
              <w:t>mjo</w:t>
            </w:r>
            <w:r w:rsidR="00A80379" w:rsidRPr="00040A70">
              <w:rPr>
                <w:rFonts w:ascii="Arial" w:hAnsi="Arial" w:cs="Arial"/>
                <w:b/>
                <w:i/>
              </w:rPr>
              <w:t>@um.poznan.pl.</w:t>
            </w:r>
          </w:p>
        </w:tc>
      </w:tr>
      <w:tr w:rsidR="00456465" w:rsidRPr="00455235" w14:paraId="5E9DE2C7" w14:textId="77777777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14:paraId="2DF5306A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14:paraId="324F1DA9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031BD5B" w14:textId="77777777"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14:paraId="2F3A012F" w14:textId="77777777"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4A6E0A" w14:textId="17C67786" w:rsidR="0045646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14:paraId="33E4149D" w14:textId="77777777" w:rsidR="00641CF2" w:rsidRPr="00641CF2" w:rsidRDefault="00641CF2" w:rsidP="00641CF2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14B8FCC9" w14:textId="5894B176" w:rsidR="00641CF2" w:rsidRDefault="00641CF2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wizyjny obejmuje: </w:t>
            </w:r>
            <w:r>
              <w:rPr>
                <w:rFonts w:ascii="Arial" w:hAnsi="Arial" w:cs="Arial"/>
              </w:rPr>
              <w:t>bramę</w:t>
            </w:r>
            <w:r>
              <w:rPr>
                <w:rFonts w:ascii="Arial" w:hAnsi="Arial" w:cs="Arial"/>
              </w:rPr>
              <w:t xml:space="preserve"> wjazdową</w:t>
            </w:r>
            <w:r>
              <w:rPr>
                <w:rFonts w:ascii="Arial" w:hAnsi="Arial" w:cs="Arial"/>
              </w:rPr>
              <w:t xml:space="preserve"> i furtkę bez chodnika</w:t>
            </w:r>
            <w:r>
              <w:rPr>
                <w:rFonts w:ascii="Arial" w:hAnsi="Arial" w:cs="Arial"/>
              </w:rPr>
              <w:t xml:space="preserve">, wejście do szkoły, drzwi wejściowe, schody, część boiska, </w:t>
            </w:r>
            <w:proofErr w:type="spellStart"/>
            <w:r>
              <w:rPr>
                <w:rFonts w:ascii="Arial" w:hAnsi="Arial" w:cs="Arial"/>
              </w:rPr>
              <w:t>rowerownię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miejsca postojowe oraz podjazd dla wózków,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wewnętrzny dziedziniec, parking dla pracowników,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teren </w:t>
            </w:r>
            <w:proofErr w:type="spellStart"/>
            <w:r>
              <w:rPr>
                <w:rFonts w:ascii="Arial" w:hAnsi="Arial" w:cs="Arial"/>
              </w:rPr>
              <w:t>WPSiR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przejście wzdłuż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gimnastycznych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przedsionek, schody do szatni, korytarz na parterze, </w:t>
            </w:r>
            <w:r>
              <w:rPr>
                <w:rFonts w:ascii="Arial" w:hAnsi="Arial" w:cs="Arial"/>
              </w:rPr>
              <w:t>korytarz na pierwszym piętrze</w:t>
            </w:r>
            <w:r>
              <w:rPr>
                <w:rFonts w:ascii="Arial" w:hAnsi="Arial" w:cs="Arial"/>
              </w:rPr>
              <w:t>, szafki szkolne, wejścia do klas, wejście do części przedszkolnej, wejście do sekretariatu, sekretariat, szatnię, wejścia do szatni, wejście do pokoju pedagoga i psychologa, sale gimnastyczne.</w:t>
            </w:r>
          </w:p>
          <w:p w14:paraId="6778829C" w14:textId="77777777" w:rsidR="00641CF2" w:rsidRPr="00455235" w:rsidRDefault="00641CF2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F08EAA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 w:rsidR="00970835">
              <w:rPr>
                <w:rFonts w:ascii="Arial" w:hAnsi="Arial" w:cs="Arial"/>
              </w:rPr>
              <w:t>ratorowi</w:t>
            </w:r>
            <w:r w:rsidR="00970835"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 w:rsidR="00DC57E1">
              <w:rPr>
                <w:rFonts w:ascii="Arial" w:hAnsi="Arial" w:cs="Arial"/>
              </w:rPr>
              <w:t>ienia – zgodnie z art. 1 pkt 14</w:t>
            </w:r>
            <w:r w:rsidR="00DC57E1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 w:rsidR="00C23765"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C23765"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14:paraId="4FBDCB2A" w14:textId="77777777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14:paraId="6A11D005" w14:textId="77777777"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6646F4" w14:textId="77777777"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14:paraId="16BCD124" w14:textId="77777777"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B00507" w14:textId="6FEDA25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</w:t>
            </w:r>
            <w:r w:rsidR="007C3B5C">
              <w:rPr>
                <w:rFonts w:ascii="Arial" w:hAnsi="Arial" w:cs="Arial"/>
              </w:rPr>
              <w:t>14 dni</w:t>
            </w:r>
            <w:r w:rsidRPr="00455235">
              <w:rPr>
                <w:rFonts w:ascii="Arial" w:hAnsi="Arial" w:cs="Arial"/>
              </w:rPr>
              <w:t xml:space="preserve">. </w:t>
            </w:r>
          </w:p>
        </w:tc>
      </w:tr>
      <w:tr w:rsidR="00456465" w:rsidRPr="00455235" w14:paraId="409F160B" w14:textId="77777777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3F27DA22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E815F4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14:paraId="09131F54" w14:textId="77777777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14:paraId="321D8D1F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BBB208" w14:textId="77777777"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65A9B997" w14:textId="77777777"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14:paraId="3B41CA25" w14:textId="77777777" w:rsidR="003B740D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65F4C3AF" w14:textId="18D0F5FA" w:rsidR="003B740D" w:rsidRPr="00627DDF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14:paraId="7A03ED08" w14:textId="77777777"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14:paraId="03A951A8" w14:textId="77777777" w:rsidR="003B740D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11AE565A" w14:textId="77777777" w:rsidR="003B740D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14:paraId="683376A3" w14:textId="77777777" w:rsidR="003B740D" w:rsidRPr="00A368A3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14:paraId="195B310C" w14:textId="77777777"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5A754710" w14:textId="77777777"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6034295F" w14:textId="77777777"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C240551" w14:textId="77777777"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14:paraId="1CECCC2B" w14:textId="77777777" w:rsidR="003B740D" w:rsidRPr="00370F36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14:paraId="43615BFF" w14:textId="77777777"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14:paraId="17198895" w14:textId="77777777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14:paraId="3DA59D40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58E81E2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14:paraId="347CBADA" w14:textId="77777777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14:paraId="49996890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4D2B24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14:paraId="4F2B8A4B" w14:textId="77777777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14:paraId="30190E92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C50B48E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14:paraId="54654FDD" w14:textId="77777777"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14:paraId="4DB5AB59" w14:textId="77777777"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14:paraId="4D7B5BE9" w14:textId="77777777" w:rsidR="00475A11" w:rsidRDefault="00475A11" w:rsidP="001E67E9">
      <w:pPr>
        <w:spacing w:line="240" w:lineRule="auto"/>
      </w:pPr>
    </w:p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C0BA" w14:textId="77777777" w:rsidR="001C0706" w:rsidRDefault="001C0706" w:rsidP="009C091D">
      <w:pPr>
        <w:spacing w:after="0" w:line="240" w:lineRule="auto"/>
      </w:pPr>
      <w:r>
        <w:separator/>
      </w:r>
    </w:p>
  </w:endnote>
  <w:endnote w:type="continuationSeparator" w:id="0">
    <w:p w14:paraId="7FF7D3A0" w14:textId="77777777" w:rsidR="001C0706" w:rsidRDefault="001C0706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02DA" w14:textId="741833B8" w:rsidR="007C3B5C" w:rsidRPr="006433B2" w:rsidRDefault="006433B2" w:rsidP="007C3B5C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6433B2">
      <w:rPr>
        <w:rFonts w:ascii="Arial" w:hAnsi="Arial" w:cs="Arial"/>
        <w:color w:val="808080" w:themeColor="background1" w:themeShade="80"/>
        <w:sz w:val="20"/>
      </w:rPr>
      <w:t xml:space="preserve">2.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SP_monitoring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wizyjny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E590" w14:textId="77777777" w:rsidR="001C0706" w:rsidRDefault="001C0706" w:rsidP="009C091D">
      <w:pPr>
        <w:spacing w:after="0" w:line="240" w:lineRule="auto"/>
      </w:pPr>
      <w:r>
        <w:separator/>
      </w:r>
    </w:p>
  </w:footnote>
  <w:footnote w:type="continuationSeparator" w:id="0">
    <w:p w14:paraId="44F74A96" w14:textId="77777777" w:rsidR="001C0706" w:rsidRDefault="001C0706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92D"/>
    <w:rsid w:val="000339C0"/>
    <w:rsid w:val="000432D4"/>
    <w:rsid w:val="00043B2C"/>
    <w:rsid w:val="000B0FA0"/>
    <w:rsid w:val="000C49DA"/>
    <w:rsid w:val="001B1744"/>
    <w:rsid w:val="001C0706"/>
    <w:rsid w:val="001E67E9"/>
    <w:rsid w:val="00353EE4"/>
    <w:rsid w:val="00357F88"/>
    <w:rsid w:val="003B740D"/>
    <w:rsid w:val="004031AE"/>
    <w:rsid w:val="00456465"/>
    <w:rsid w:val="00475A11"/>
    <w:rsid w:val="004C1BF2"/>
    <w:rsid w:val="004C32C7"/>
    <w:rsid w:val="004D50AD"/>
    <w:rsid w:val="005038CA"/>
    <w:rsid w:val="0050792D"/>
    <w:rsid w:val="00601303"/>
    <w:rsid w:val="00641CF2"/>
    <w:rsid w:val="006433B2"/>
    <w:rsid w:val="00654699"/>
    <w:rsid w:val="007C3B5C"/>
    <w:rsid w:val="007D0869"/>
    <w:rsid w:val="007F3890"/>
    <w:rsid w:val="008208EB"/>
    <w:rsid w:val="00944130"/>
    <w:rsid w:val="00970835"/>
    <w:rsid w:val="009C091D"/>
    <w:rsid w:val="00A17B0E"/>
    <w:rsid w:val="00A266EF"/>
    <w:rsid w:val="00A3708A"/>
    <w:rsid w:val="00A80379"/>
    <w:rsid w:val="00BD60F0"/>
    <w:rsid w:val="00C23765"/>
    <w:rsid w:val="00C9742B"/>
    <w:rsid w:val="00CA1223"/>
    <w:rsid w:val="00DC57E1"/>
    <w:rsid w:val="00DC7BE2"/>
    <w:rsid w:val="00E04708"/>
    <w:rsid w:val="00E3453E"/>
    <w:rsid w:val="00E34B6D"/>
    <w:rsid w:val="00E4556F"/>
    <w:rsid w:val="00E70E76"/>
    <w:rsid w:val="00EF2199"/>
    <w:rsid w:val="00F159F3"/>
    <w:rsid w:val="00F5195A"/>
    <w:rsid w:val="00F86660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D8F"/>
  <w15:docId w15:val="{09519564-ACE1-4633-BC4F-E5EB5422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Nauczyciel</cp:lastModifiedBy>
  <cp:revision>8</cp:revision>
  <cp:lastPrinted>2024-01-23T10:38:00Z</cp:lastPrinted>
  <dcterms:created xsi:type="dcterms:W3CDTF">2019-09-05T12:43:00Z</dcterms:created>
  <dcterms:modified xsi:type="dcterms:W3CDTF">2024-01-23T10:38:00Z</dcterms:modified>
</cp:coreProperties>
</file>