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bCs/>
          <w:color w:val="548DD4" w:themeColor="text2" w:themeTint="99"/>
          <w:sz w:val="24"/>
          <w:szCs w:val="24"/>
          <w:lang w:eastAsia="cs-CZ"/>
        </w:rPr>
      </w:pPr>
      <w:r>
        <w:rPr>
          <w:rFonts w:eastAsia="Times New Roman" w:cs="Times New Roman" w:ascii="Times New Roman" w:hAnsi="Times New Roman"/>
          <w:b/>
          <w:bCs/>
          <w:color w:val="548DD4" w:themeColor="text2" w:themeTint="99"/>
          <w:sz w:val="24"/>
          <w:szCs w:val="24"/>
          <w:lang w:eastAsia="cs-CZ"/>
        </w:rPr>
      </w:r>
    </w:p>
    <w:p>
      <w:pPr>
        <w:pStyle w:val="Normal"/>
        <w:spacing w:lineRule="auto" w:line="240" w:before="0" w:after="0"/>
        <w:jc w:val="center"/>
        <w:rPr>
          <w:rFonts w:ascii="Times New Roman" w:hAnsi="Times New Roman" w:eastAsia="Times New Roman" w:cs="Times New Roman"/>
          <w:b/>
          <w:b/>
          <w:bCs/>
          <w:color w:val="548DD4" w:themeColor="text2" w:themeTint="99"/>
          <w:sz w:val="24"/>
          <w:szCs w:val="24"/>
          <w:lang w:eastAsia="cs-CZ"/>
        </w:rPr>
      </w:pPr>
      <w:r>
        <w:rPr>
          <w:rFonts w:eastAsia="Times New Roman" w:cs="Times New Roman" w:ascii="Times New Roman" w:hAnsi="Times New Roman"/>
          <w:b/>
          <w:bCs/>
          <w:color w:val="548DD4" w:themeColor="text2" w:themeTint="99"/>
          <w:sz w:val="24"/>
          <w:szCs w:val="24"/>
          <w:lang w:eastAsia="cs-CZ"/>
        </w:rPr>
        <w:t>SPRÁVA O VÝCHOVNO – VZDELÁVACEJ ČINNOSTI, JEJ VÝSLEDKOCH A PODMIENKACH ZA ŠKOLSKÝ ROK 2022/2023</w:t>
      </w:r>
    </w:p>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tabs>
          <w:tab w:val="clear" w:pos="708"/>
          <w:tab w:val="left" w:pos="2410" w:leader="none"/>
        </w:tabs>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Podľa § 14 ods. 5 písm. e) zákona NR SR č. 596/2003 Z.z. o štátnej správe v školstve a školskej samospráve a o zmene a doplnenie niektorých zákonov v znení zmien a doplnkov a podľa § 2 ods. 1 vyhlášky MŠ SR č. 9/2006 Z.z. o štruktúre a obsahu správa o výchovno -  vzdelávacej činnosti, jej výsledkoch a podmienkach škôl a školských zariadení, riaditeľstvo ZŠ s MŠ vypracovalo nasledujúcu správu.</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tabs>
                <w:tab w:val="clear" w:pos="708"/>
                <w:tab w:val="left" w:pos="2410" w:leader="none"/>
              </w:tabs>
              <w:spacing w:lineRule="auto" w:line="240" w:before="0" w:after="0"/>
              <w:contextualSpacing/>
              <w:jc w:val="center"/>
              <w:rPr>
                <w:sz w:val="24"/>
                <w:szCs w:val="24"/>
                <w:lang w:eastAsia="cs-CZ"/>
              </w:rPr>
            </w:pPr>
            <w:r>
              <w:rPr>
                <w:rFonts w:eastAsia="Times New Roman" w:cs="Times New Roman" w:ascii="Times New Roman" w:hAnsi="Times New Roman"/>
                <w:b/>
                <w:bCs/>
                <w:kern w:val="0"/>
                <w:sz w:val="24"/>
                <w:szCs w:val="24"/>
                <w:lang w:val="sk-SK" w:eastAsia="cs-CZ" w:bidi="ar-SA"/>
              </w:rPr>
              <w:t>Základné identifikačné údaje o škole</w:t>
            </w:r>
          </w:p>
        </w:tc>
      </w:tr>
    </w:tbl>
    <w:p>
      <w:pPr>
        <w:pStyle w:val="Normal"/>
        <w:tabs>
          <w:tab w:val="clear" w:pos="708"/>
          <w:tab w:val="left" w:pos="2410"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contextualSpacing/>
        <w:jc w:val="both"/>
        <w:rPr>
          <w:rFonts w:ascii="Times New Roman" w:hAnsi="Times New Roman" w:eastAsia="Times New Roman" w:cs="Times New Roman"/>
          <w:bCs/>
          <w:i/>
          <w:i/>
          <w:sz w:val="24"/>
          <w:szCs w:val="24"/>
          <w:lang w:eastAsia="cs-CZ"/>
        </w:rPr>
      </w:pPr>
      <w:r>
        <w:rPr>
          <w:rFonts w:eastAsia="Times New Roman" w:cs="Times New Roman" w:ascii="Times New Roman" w:hAnsi="Times New Roman"/>
          <w:bCs/>
          <w:sz w:val="24"/>
          <w:szCs w:val="24"/>
          <w:lang w:eastAsia="cs-CZ"/>
        </w:rPr>
        <w:t xml:space="preserve"> </w:t>
      </w:r>
      <w:r>
        <w:rPr>
          <w:rFonts w:eastAsia="Times New Roman" w:cs="Times New Roman" w:ascii="Times New Roman" w:hAnsi="Times New Roman"/>
          <w:bCs/>
          <w:sz w:val="24"/>
          <w:szCs w:val="24"/>
          <w:lang w:eastAsia="cs-CZ"/>
        </w:rPr>
        <w:t xml:space="preserve">(§2ods. 1 písm. a) – </w:t>
      </w:r>
      <w:r>
        <w:rPr>
          <w:rFonts w:eastAsia="Times New Roman" w:cs="Times New Roman" w:ascii="Times New Roman" w:hAnsi="Times New Roman"/>
          <w:bCs/>
          <w:i/>
          <w:sz w:val="24"/>
          <w:szCs w:val="24"/>
          <w:lang w:eastAsia="cs-CZ"/>
        </w:rPr>
        <w:t>základné identifikačné údaje o škole</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 xml:space="preserve">Názov školy:                  </w:t>
      </w:r>
      <w:r>
        <w:rPr>
          <w:rFonts w:eastAsia="Times New Roman" w:cs="Times New Roman" w:ascii="Times New Roman" w:hAnsi="Times New Roman"/>
          <w:sz w:val="24"/>
          <w:szCs w:val="24"/>
          <w:lang w:eastAsia="cs-CZ"/>
        </w:rPr>
        <w:t>Základná škola  s materskou školou</w:t>
      </w:r>
    </w:p>
    <w:p>
      <w:pPr>
        <w:pStyle w:val="Normal"/>
        <w:tabs>
          <w:tab w:val="clear" w:pos="708"/>
          <w:tab w:val="left" w:pos="2410" w:leader="none"/>
          <w:tab w:val="left" w:pos="5322"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 xml:space="preserve">Adresa školy:                </w:t>
      </w:r>
      <w:r>
        <w:rPr>
          <w:rFonts w:eastAsia="Times New Roman" w:cs="Times New Roman" w:ascii="Times New Roman" w:hAnsi="Times New Roman"/>
          <w:sz w:val="24"/>
          <w:szCs w:val="24"/>
          <w:lang w:eastAsia="cs-CZ"/>
        </w:rPr>
        <w:t>Pod Vinbargom 1, 085 69 Bardejov</w:t>
        <w:tab/>
      </w:r>
    </w:p>
    <w:p>
      <w:pPr>
        <w:pStyle w:val="Normal"/>
        <w:spacing w:lineRule="auto" w:line="240" w:before="0" w:after="0"/>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b/>
          <w:sz w:val="24"/>
          <w:szCs w:val="24"/>
          <w:lang w:eastAsia="cs-CZ"/>
        </w:rPr>
        <w:t xml:space="preserve">Internetová adresa:      </w:t>
      </w:r>
      <w:hyperlink r:id="rId2">
        <w:r>
          <w:rPr>
            <w:rFonts w:eastAsia="Times New Roman" w:cs="Times New Roman" w:ascii="Times New Roman" w:hAnsi="Times New Roman"/>
            <w:color w:val="548DD4" w:themeColor="text2" w:themeTint="99"/>
            <w:sz w:val="24"/>
            <w:szCs w:val="24"/>
            <w:u w:val="single"/>
            <w:lang w:eastAsia="cs-CZ"/>
          </w:rPr>
          <w:t>https://podvinbargom.edupage.org</w:t>
        </w:r>
      </w:hyperlink>
    </w:p>
    <w:p>
      <w:pPr>
        <w:pStyle w:val="Normal"/>
        <w:spacing w:lineRule="auto" w:line="240" w:before="0" w:after="0"/>
        <w:rPr>
          <w:color w:val="FF0000"/>
        </w:rPr>
      </w:pPr>
      <w:r>
        <w:rPr>
          <w:rFonts w:eastAsia="Times New Roman" w:cs="Times New Roman" w:ascii="Times New Roman" w:hAnsi="Times New Roman"/>
          <w:b/>
          <w:sz w:val="24"/>
          <w:szCs w:val="24"/>
          <w:lang w:eastAsia="cs-CZ"/>
        </w:rPr>
        <w:t xml:space="preserve">Elektronická adresa:    </w:t>
      </w:r>
      <w:hyperlink r:id="rId3">
        <w:r>
          <w:rPr>
            <w:rFonts w:eastAsia="Arial Unicode MS" w:cs="Times New Roman" w:ascii="Times New Roman" w:hAnsi="Times New Roman"/>
            <w:color w:val="548DD4" w:themeColor="text2" w:themeTint="99"/>
            <w:sz w:val="24"/>
            <w:szCs w:val="24"/>
            <w:u w:val="single"/>
            <w:lang w:eastAsia="cs-CZ"/>
          </w:rPr>
          <w:t>zspodvinbargom@</w:t>
        </w:r>
        <w:r>
          <w:rPr>
            <w:rFonts w:eastAsia="Times New Roman" w:cs="Times New Roman" w:ascii="Times New Roman" w:hAnsi="Times New Roman"/>
            <w:color w:val="548DD4" w:themeColor="text2" w:themeTint="99"/>
            <w:sz w:val="24"/>
            <w:szCs w:val="24"/>
            <w:u w:val="single"/>
            <w:lang w:eastAsia="cs-CZ"/>
          </w:rPr>
          <w:t>gmail.com</w:t>
        </w:r>
      </w:hyperlink>
      <w:r>
        <w:rPr>
          <w:rFonts w:eastAsia="Times New Roman" w:cs="Times New Roman" w:ascii="Times New Roman" w:hAnsi="Times New Roman"/>
          <w:color w:val="548DD4" w:themeColor="text2" w:themeTint="99"/>
          <w:sz w:val="24"/>
          <w:szCs w:val="24"/>
          <w:lang w:eastAsia="cs-CZ"/>
        </w:rPr>
        <w:t xml:space="preserve">,  </w:t>
      </w:r>
      <w:hyperlink r:id="rId4">
        <w:r>
          <w:rPr>
            <w:rStyle w:val="Internetovodkaz"/>
            <w:rFonts w:ascii="Roboto" w:hAnsi="Roboto"/>
            <w:sz w:val="21"/>
            <w:szCs w:val="21"/>
            <w:shd w:fill="FFFFFF" w:val="clear"/>
          </w:rPr>
          <w:t>mspodvinbargom@gmail.com</w:t>
        </w:r>
      </w:hyperlink>
      <w:r>
        <w:rPr>
          <w:rFonts w:ascii="Roboto" w:hAnsi="Roboto"/>
          <w:color w:val="222222"/>
          <w:sz w:val="21"/>
          <w:szCs w:val="21"/>
          <w:shd w:fill="FFFFFF" w:val="clear"/>
        </w:rPr>
        <w:t xml:space="preserv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Tel. číslo:</w:t>
      </w:r>
      <w:r>
        <w:rPr>
          <w:rFonts w:eastAsia="Times New Roman" w:cs="Times New Roman" w:ascii="Times New Roman" w:hAnsi="Times New Roman"/>
          <w:sz w:val="24"/>
          <w:szCs w:val="24"/>
          <w:lang w:eastAsia="cs-CZ"/>
        </w:rPr>
        <w:t xml:space="preserve">                        0911368588 ZŠ, 0911544004</w:t>
      </w:r>
      <w:r>
        <w:rPr>
          <w:rFonts w:eastAsia="Times New Roman" w:cs="Times New Roman" w:ascii="Times New Roman" w:hAnsi="Times New Roman"/>
          <w:color w:val="FF0000"/>
          <w:sz w:val="24"/>
          <w:szCs w:val="24"/>
          <w:lang w:eastAsia="cs-CZ"/>
        </w:rPr>
        <w:t xml:space="preserve"> </w:t>
      </w:r>
      <w:r>
        <w:rPr>
          <w:rFonts w:eastAsia="Times New Roman" w:cs="Times New Roman" w:ascii="Times New Roman" w:hAnsi="Times New Roman"/>
          <w:sz w:val="24"/>
          <w:szCs w:val="24"/>
          <w:lang w:eastAsia="cs-CZ"/>
        </w:rPr>
        <w:t>MŠ</w:t>
      </w:r>
    </w:p>
    <w:p>
      <w:pPr>
        <w:pStyle w:val="Normal"/>
        <w:tabs>
          <w:tab w:val="clear" w:pos="708"/>
          <w:tab w:val="left" w:pos="5887"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Zriaďovateľ:</w:t>
      </w:r>
      <w:r>
        <w:rPr>
          <w:rFonts w:eastAsia="Times New Roman" w:cs="Times New Roman" w:ascii="Times New Roman" w:hAnsi="Times New Roman"/>
          <w:sz w:val="24"/>
          <w:szCs w:val="24"/>
          <w:lang w:eastAsia="cs-CZ"/>
        </w:rPr>
        <w:t xml:space="preserve">                 Mesto Bardejov</w:t>
        <w:tab/>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 xml:space="preserve">Adresa zriaďovateľa:  </w:t>
      </w:r>
      <w:r>
        <w:rPr>
          <w:rFonts w:eastAsia="Times New Roman" w:cs="Times New Roman" w:ascii="Times New Roman" w:hAnsi="Times New Roman"/>
          <w:sz w:val="24"/>
          <w:szCs w:val="24"/>
          <w:lang w:eastAsia="cs-CZ"/>
        </w:rPr>
        <w:t xml:space="preserve"> Radničné námestie 16, Bardejov</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IČO zriaďovateľa:</w:t>
      </w:r>
      <w:r>
        <w:rPr>
          <w:rFonts w:eastAsia="Times New Roman" w:cs="Times New Roman" w:ascii="Times New Roman" w:hAnsi="Times New Roman"/>
          <w:sz w:val="24"/>
          <w:szCs w:val="24"/>
          <w:lang w:eastAsia="cs-CZ"/>
        </w:rPr>
        <w:t xml:space="preserve">        00321842</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Telefón:</w:t>
      </w:r>
      <w:r>
        <w:rPr>
          <w:rFonts w:eastAsia="Times New Roman" w:cs="Times New Roman" w:ascii="Times New Roman" w:hAnsi="Times New Roman"/>
          <w:sz w:val="24"/>
          <w:szCs w:val="24"/>
          <w:lang w:eastAsia="cs-CZ"/>
        </w:rPr>
        <w:t xml:space="preserve">                          054/4862122</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Internetová adresa:</w:t>
      </w:r>
      <w:r>
        <w:rPr>
          <w:rFonts w:eastAsia="Times New Roman" w:cs="Times New Roman" w:ascii="Times New Roman" w:hAnsi="Times New Roman"/>
          <w:sz w:val="24"/>
          <w:szCs w:val="24"/>
          <w:lang w:eastAsia="cs-CZ"/>
        </w:rPr>
        <w:t xml:space="preserve">       </w:t>
      </w:r>
      <w:hyperlink r:id="rId5">
        <w:r>
          <w:rPr>
            <w:rFonts w:eastAsia="Arial Unicode MS" w:cs="Times New Roman" w:ascii="Times New Roman" w:hAnsi="Times New Roman"/>
            <w:color w:val="548DD4" w:themeColor="text2" w:themeTint="99"/>
            <w:sz w:val="24"/>
            <w:szCs w:val="24"/>
            <w:u w:val="single"/>
            <w:lang w:eastAsia="cs-CZ"/>
          </w:rPr>
          <w:t>www.e-bardejov.sk</w:t>
        </w:r>
      </w:hyperlink>
    </w:p>
    <w:p>
      <w:pPr>
        <w:pStyle w:val="Normal"/>
        <w:tabs>
          <w:tab w:val="clear" w:pos="708"/>
          <w:tab w:val="left" w:pos="2410" w:leader="none"/>
        </w:tabs>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b/>
          <w:sz w:val="24"/>
          <w:szCs w:val="24"/>
          <w:lang w:eastAsia="cs-CZ"/>
        </w:rPr>
        <w:t>Elektronická adresa:</w:t>
      </w:r>
      <w:r>
        <w:rPr>
          <w:rFonts w:eastAsia="Times New Roman" w:cs="Times New Roman" w:ascii="Times New Roman" w:hAnsi="Times New Roman"/>
          <w:sz w:val="24"/>
          <w:szCs w:val="24"/>
          <w:lang w:eastAsia="cs-CZ"/>
        </w:rPr>
        <w:t xml:space="preserve">    </w:t>
      </w:r>
      <w:hyperlink r:id="rId6">
        <w:r>
          <w:rPr>
            <w:rFonts w:eastAsia="Arial Unicode MS" w:cs="Times New Roman" w:ascii="Times New Roman" w:hAnsi="Times New Roman"/>
            <w:color w:val="0000FF"/>
            <w:sz w:val="24"/>
            <w:szCs w:val="24"/>
            <w:lang w:eastAsia="cs-CZ"/>
          </w:rPr>
          <w:t>primator@bardejov.sk</w:t>
        </w:r>
      </w:hyperlink>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color w:val="548DD4" w:themeColor="text2" w:themeTint="99"/>
          <w:sz w:val="24"/>
          <w:szCs w:val="24"/>
          <w:lang w:eastAsia="cs-CZ"/>
        </w:rPr>
      </w:pPr>
      <w:r>
        <w:rPr>
          <w:rFonts w:eastAsia="Times New Roman" w:cs="Times New Roman" w:ascii="Times New Roman" w:hAnsi="Times New Roman"/>
          <w:color w:val="548DD4" w:themeColor="text2" w:themeTint="99"/>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bCs/>
                <w:color w:val="548DD4" w:themeColor="text2" w:themeTint="99"/>
                <w:sz w:val="24"/>
                <w:szCs w:val="24"/>
                <w:lang w:eastAsia="cs-CZ"/>
              </w:rPr>
            </w:pPr>
            <w:r>
              <w:rPr>
                <w:rFonts w:eastAsia="Times New Roman" w:cs="Times New Roman" w:ascii="Times New Roman" w:hAnsi="Times New Roman"/>
                <w:b/>
                <w:bCs/>
                <w:kern w:val="0"/>
                <w:sz w:val="24"/>
                <w:szCs w:val="24"/>
                <w:lang w:val="sk-SK" w:eastAsia="cs-CZ" w:bidi="ar-SA"/>
              </w:rPr>
              <w:t>Organizačná schéma školy</w:t>
            </w:r>
          </w:p>
        </w:tc>
      </w:tr>
    </w:tbl>
    <w:p>
      <w:pPr>
        <w:pStyle w:val="Normal"/>
        <w:spacing w:lineRule="auto" w:line="240" w:before="0" w:after="0"/>
        <w:rPr>
          <w:rFonts w:ascii="Times New Roman" w:hAnsi="Times New Roman" w:eastAsia="Times New Roman" w:cs="Times New Roman"/>
          <w:b/>
          <w:b/>
          <w:bCs/>
          <w:color w:val="548DD4" w:themeColor="text2" w:themeTint="99"/>
          <w:sz w:val="24"/>
          <w:szCs w:val="24"/>
          <w:lang w:eastAsia="cs-CZ"/>
        </w:rPr>
      </w:pPr>
      <w:r>
        <w:rPr>
          <w:rFonts w:eastAsia="Times New Roman" w:cs="Times New Roman" w:ascii="Times New Roman" w:hAnsi="Times New Roman"/>
          <w:b/>
          <w:bCs/>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mc:AlternateContent>
          <mc:Choice Requires="wps">
            <w:drawing>
              <wp:anchor behindDoc="0" distT="5715" distB="8890" distL="13970" distR="5080" simplePos="0" locked="0" layoutInCell="0" allowOverlap="1" relativeHeight="2" wp14:anchorId="21823C62">
                <wp:simplePos x="0" y="0"/>
                <wp:positionH relativeFrom="column">
                  <wp:posOffset>152400</wp:posOffset>
                </wp:positionH>
                <wp:positionV relativeFrom="paragraph">
                  <wp:posOffset>100330</wp:posOffset>
                </wp:positionV>
                <wp:extent cx="1828800" cy="1309370"/>
                <wp:effectExtent l="5080" t="5080" r="5080" b="5080"/>
                <wp:wrapNone/>
                <wp:docPr id="1" name="Obdĺžnik 44"/>
                <a:graphic xmlns:a="http://schemas.openxmlformats.org/drawingml/2006/main">
                  <a:graphicData uri="http://schemas.microsoft.com/office/word/2010/wordprocessingShape">
                    <wps:wsp>
                      <wps:cNvSpPr/>
                      <wps:spPr>
                        <a:xfrm>
                          <a:off x="0" y="0"/>
                          <a:ext cx="1828800" cy="130932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b/>
                                <w:b/>
                                <w:bCs/>
                                <w:sz w:val="40"/>
                              </w:rPr>
                            </w:pPr>
                            <w:r>
                              <w:rPr>
                                <w:b/>
                                <w:bCs/>
                                <w:sz w:val="40"/>
                              </w:rPr>
                              <w:t>Základná</w:t>
                            </w:r>
                          </w:p>
                          <w:p>
                            <w:pPr>
                              <w:pStyle w:val="Obsahrmca"/>
                              <w:spacing w:before="0" w:after="200"/>
                              <w:jc w:val="center"/>
                              <w:rPr>
                                <w:b/>
                                <w:b/>
                                <w:bCs/>
                                <w:sz w:val="40"/>
                              </w:rPr>
                            </w:pPr>
                            <w:r>
                              <w:rPr>
                                <w:b/>
                                <w:bCs/>
                                <w:sz w:val="40"/>
                              </w:rPr>
                              <w:t>škola s materskou školou</w:t>
                            </w:r>
                          </w:p>
                        </w:txbxContent>
                      </wps:txbx>
                      <wps:bodyPr anchor="t" upright="1">
                        <a:noAutofit/>
                      </wps:bodyPr>
                    </wps:wsp>
                  </a:graphicData>
                </a:graphic>
              </wp:anchor>
            </w:drawing>
          </mc:Choice>
          <mc:Fallback>
            <w:pict>
              <v:rect id="shape_0" ID="Obdĺžnik 44" path="m0,0l-2147483645,0l-2147483645,-2147483646l0,-2147483646xe" fillcolor="white" stroked="t" o:allowincell="f" style="position:absolute;margin-left:12pt;margin-top:7.9pt;width:143.95pt;height:103.05pt;mso-wrap-style:square;v-text-anchor:top" wp14:anchorId="21823C62">
                <v:fill o:detectmouseclick="t" type="solid" color2="black"/>
                <v:stroke color="black" weight="9360" joinstyle="miter" endcap="flat"/>
                <v:textbox>
                  <w:txbxContent>
                    <w:p>
                      <w:pPr>
                        <w:pStyle w:val="Obsahrmca"/>
                        <w:jc w:val="center"/>
                        <w:rPr>
                          <w:b/>
                          <w:b/>
                          <w:bCs/>
                          <w:sz w:val="40"/>
                        </w:rPr>
                      </w:pPr>
                      <w:r>
                        <w:rPr>
                          <w:b/>
                          <w:bCs/>
                          <w:sz w:val="40"/>
                        </w:rPr>
                        <w:t>Základná</w:t>
                      </w:r>
                    </w:p>
                    <w:p>
                      <w:pPr>
                        <w:pStyle w:val="Obsahrmca"/>
                        <w:spacing w:before="0" w:after="200"/>
                        <w:jc w:val="center"/>
                        <w:rPr>
                          <w:b/>
                          <w:b/>
                          <w:bCs/>
                          <w:sz w:val="40"/>
                        </w:rPr>
                      </w:pPr>
                      <w:r>
                        <w:rPr>
                          <w:b/>
                          <w:bCs/>
                          <w:sz w:val="40"/>
                        </w:rPr>
                        <w:t>škola s materskou školou</w:t>
                      </w:r>
                    </w:p>
                  </w:txbxContent>
                </v:textbox>
                <w10:wrap type="none"/>
              </v:rect>
            </w:pict>
          </mc:Fallback>
        </mc:AlternateContent>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mc:AlternateContent>
          <mc:Choice Requires="wps">
            <w:drawing>
              <wp:anchor behindDoc="0" distT="10160" distB="8890" distL="13970" distR="5080" simplePos="0" locked="0" layoutInCell="0" allowOverlap="1" relativeHeight="4" wp14:anchorId="7816AEBE">
                <wp:simplePos x="0" y="0"/>
                <wp:positionH relativeFrom="column">
                  <wp:posOffset>2781300</wp:posOffset>
                </wp:positionH>
                <wp:positionV relativeFrom="paragraph">
                  <wp:posOffset>1234440</wp:posOffset>
                </wp:positionV>
                <wp:extent cx="1028700" cy="457200"/>
                <wp:effectExtent l="5080" t="5080" r="5080" b="5080"/>
                <wp:wrapNone/>
                <wp:docPr id="3" name="Obdĺžnik 48"/>
                <a:graphic xmlns:a="http://schemas.openxmlformats.org/drawingml/2006/main">
                  <a:graphicData uri="http://schemas.microsoft.com/office/word/2010/wordprocessingShape">
                    <wps:wsp>
                      <wps:cNvSpPr/>
                      <wps:spPr>
                        <a:xfrm>
                          <a:off x="0" y="0"/>
                          <a:ext cx="102888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Nadpis4"/>
                              <w:rPr/>
                            </w:pPr>
                            <w:r>
                              <w:rPr/>
                              <w:t>ŠKD</w:t>
                            </w:r>
                          </w:p>
                        </w:txbxContent>
                      </wps:txbx>
                      <wps:bodyPr anchor="t" upright="1">
                        <a:noAutofit/>
                      </wps:bodyPr>
                    </wps:wsp>
                  </a:graphicData>
                </a:graphic>
              </wp:anchor>
            </w:drawing>
          </mc:Choice>
          <mc:Fallback>
            <w:pict>
              <v:rect id="shape_0" ID="Obdĺžnik 48" path="m0,0l-2147483645,0l-2147483645,-2147483646l0,-2147483646xe" fillcolor="white" stroked="t" o:allowincell="f" style="position:absolute;margin-left:219pt;margin-top:97.2pt;width:80.95pt;height:35.95pt;mso-wrap-style:square;v-text-anchor:top" wp14:anchorId="7816AEBE">
                <v:fill o:detectmouseclick="t" type="solid" color2="black"/>
                <v:stroke color="black" weight="9360" joinstyle="miter" endcap="flat"/>
                <v:textbox>
                  <w:txbxContent>
                    <w:p>
                      <w:pPr>
                        <w:pStyle w:val="Nadpis4"/>
                        <w:rPr/>
                      </w:pPr>
                      <w:r>
                        <w:rPr/>
                        <w:t>ŠKD</w:t>
                      </w:r>
                    </w:p>
                  </w:txbxContent>
                </v:textbox>
                <w10:wrap type="none"/>
              </v:rect>
            </w:pict>
          </mc:Fallback>
        </mc:AlternateContent>
        <mc:AlternateContent>
          <mc:Choice Requires="wps">
            <w:drawing>
              <wp:anchor behindDoc="0" distT="10160" distB="8890" distL="13970" distR="5080" simplePos="0" locked="0" layoutInCell="0" allowOverlap="1" relativeHeight="6" wp14:anchorId="7B7AF493">
                <wp:simplePos x="0" y="0"/>
                <wp:positionH relativeFrom="column">
                  <wp:posOffset>4381500</wp:posOffset>
                </wp:positionH>
                <wp:positionV relativeFrom="paragraph">
                  <wp:posOffset>1234440</wp:posOffset>
                </wp:positionV>
                <wp:extent cx="1028700" cy="457200"/>
                <wp:effectExtent l="5080" t="5080" r="5080" b="5080"/>
                <wp:wrapNone/>
                <wp:docPr id="5" name="Obdĺžnik 49"/>
                <a:graphic xmlns:a="http://schemas.openxmlformats.org/drawingml/2006/main">
                  <a:graphicData uri="http://schemas.microsoft.com/office/word/2010/wordprocessingShape">
                    <wps:wsp>
                      <wps:cNvSpPr/>
                      <wps:spPr>
                        <a:xfrm>
                          <a:off x="0" y="0"/>
                          <a:ext cx="102888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Nadpis4"/>
                              <w:rPr/>
                            </w:pPr>
                            <w:r>
                              <w:rPr/>
                              <w:t>ŠJ</w:t>
                            </w:r>
                          </w:p>
                        </w:txbxContent>
                      </wps:txbx>
                      <wps:bodyPr anchor="t" upright="1">
                        <a:noAutofit/>
                      </wps:bodyPr>
                    </wps:wsp>
                  </a:graphicData>
                </a:graphic>
              </wp:anchor>
            </w:drawing>
          </mc:Choice>
          <mc:Fallback>
            <w:pict>
              <v:rect id="shape_0" ID="Obdĺžnik 49" path="m0,0l-2147483645,0l-2147483645,-2147483646l0,-2147483646xe" fillcolor="white" stroked="t" o:allowincell="f" style="position:absolute;margin-left:345pt;margin-top:97.2pt;width:80.95pt;height:35.95pt;mso-wrap-style:square;v-text-anchor:top" wp14:anchorId="7B7AF493">
                <v:fill o:detectmouseclick="t" type="solid" color2="black"/>
                <v:stroke color="black" weight="9360" joinstyle="miter" endcap="flat"/>
                <v:textbox>
                  <w:txbxContent>
                    <w:p>
                      <w:pPr>
                        <w:pStyle w:val="Nadpis4"/>
                        <w:rPr/>
                      </w:pPr>
                      <w:r>
                        <w:rPr/>
                        <w:t>ŠJ</w:t>
                      </w:r>
                    </w:p>
                  </w:txbxContent>
                </v:textbox>
                <w10:wrap type="none"/>
              </v:rect>
            </w:pict>
          </mc:Fallback>
        </mc:AlternateContent>
        <mc:AlternateContent>
          <mc:Choice Requires="wps">
            <w:drawing>
              <wp:anchor behindDoc="0" distT="10160" distB="8890" distL="13970" distR="5080" simplePos="0" locked="0" layoutInCell="0" allowOverlap="1" relativeHeight="8" wp14:anchorId="6FB4C98E">
                <wp:simplePos x="0" y="0"/>
                <wp:positionH relativeFrom="column">
                  <wp:posOffset>838200</wp:posOffset>
                </wp:positionH>
                <wp:positionV relativeFrom="paragraph">
                  <wp:posOffset>3749040</wp:posOffset>
                </wp:positionV>
                <wp:extent cx="1028700" cy="685800"/>
                <wp:effectExtent l="5080" t="5080" r="5080" b="5080"/>
                <wp:wrapNone/>
                <wp:docPr id="7" name="Obdĺžnik 50"/>
                <a:graphic xmlns:a="http://schemas.openxmlformats.org/drawingml/2006/main">
                  <a:graphicData uri="http://schemas.microsoft.com/office/word/2010/wordprocessingShape">
                    <wps:wsp>
                      <wps:cNvSpPr/>
                      <wps:spPr>
                        <a:xfrm>
                          <a:off x="0" y="0"/>
                          <a:ext cx="1028880" cy="6858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b/>
                                <w:b/>
                                <w:bCs/>
                                <w:sz w:val="28"/>
                              </w:rPr>
                            </w:pPr>
                            <w:r>
                              <w:rPr>
                                <w:b/>
                                <w:bCs/>
                                <w:sz w:val="28"/>
                              </w:rPr>
                              <w:t>I. stupeň</w:t>
                            </w:r>
                          </w:p>
                          <w:p>
                            <w:pPr>
                              <w:pStyle w:val="Obsahrmca"/>
                              <w:spacing w:before="0" w:after="200"/>
                              <w:jc w:val="center"/>
                              <w:rPr/>
                            </w:pPr>
                            <w:r>
                              <w:rPr>
                                <w:b/>
                                <w:bCs/>
                                <w:sz w:val="28"/>
                              </w:rPr>
                              <w:t>1.-4. ročník</w:t>
                            </w:r>
                          </w:p>
                        </w:txbxContent>
                      </wps:txbx>
                      <wps:bodyPr anchor="t" upright="1">
                        <a:noAutofit/>
                      </wps:bodyPr>
                    </wps:wsp>
                  </a:graphicData>
                </a:graphic>
              </wp:anchor>
            </w:drawing>
          </mc:Choice>
          <mc:Fallback>
            <w:pict>
              <v:rect id="shape_0" ID="Obdĺžnik 50" path="m0,0l-2147483645,0l-2147483645,-2147483646l0,-2147483646xe" fillcolor="white" stroked="t" o:allowincell="f" style="position:absolute;margin-left:66pt;margin-top:295.2pt;width:80.95pt;height:53.95pt;mso-wrap-style:square;v-text-anchor:top" wp14:anchorId="6FB4C98E">
                <v:fill o:detectmouseclick="t" type="solid" color2="black"/>
                <v:stroke color="black" weight="9360" joinstyle="miter" endcap="flat"/>
                <v:textbox>
                  <w:txbxContent>
                    <w:p>
                      <w:pPr>
                        <w:pStyle w:val="Obsahrmca"/>
                        <w:jc w:val="center"/>
                        <w:rPr>
                          <w:b/>
                          <w:b/>
                          <w:bCs/>
                          <w:sz w:val="28"/>
                        </w:rPr>
                      </w:pPr>
                      <w:r>
                        <w:rPr>
                          <w:b/>
                          <w:bCs/>
                          <w:sz w:val="28"/>
                        </w:rPr>
                        <w:t>I. stupeň</w:t>
                      </w:r>
                    </w:p>
                    <w:p>
                      <w:pPr>
                        <w:pStyle w:val="Obsahrmca"/>
                        <w:spacing w:before="0" w:after="200"/>
                        <w:jc w:val="center"/>
                        <w:rPr/>
                      </w:pPr>
                      <w:r>
                        <w:rPr>
                          <w:b/>
                          <w:bCs/>
                          <w:sz w:val="28"/>
                        </w:rPr>
                        <w:t>1.-4. ročník</w:t>
                      </w:r>
                    </w:p>
                  </w:txbxContent>
                </v:textbox>
                <w10:wrap type="none"/>
              </v:rect>
            </w:pict>
          </mc:Fallback>
        </mc:AlternateContent>
        <mc:AlternateContent>
          <mc:Choice Requires="wps">
            <w:drawing>
              <wp:anchor behindDoc="0" distT="10160" distB="8890" distL="13970" distR="5080" simplePos="0" locked="0" layoutInCell="0" allowOverlap="1" relativeHeight="10" wp14:anchorId="30631FDC">
                <wp:simplePos x="0" y="0"/>
                <wp:positionH relativeFrom="column">
                  <wp:posOffset>4267200</wp:posOffset>
                </wp:positionH>
                <wp:positionV relativeFrom="paragraph">
                  <wp:posOffset>3749040</wp:posOffset>
                </wp:positionV>
                <wp:extent cx="1028700" cy="685800"/>
                <wp:effectExtent l="5080" t="5080" r="5080" b="5080"/>
                <wp:wrapNone/>
                <wp:docPr id="9" name="Obdĺžnik 51"/>
                <a:graphic xmlns:a="http://schemas.openxmlformats.org/drawingml/2006/main">
                  <a:graphicData uri="http://schemas.microsoft.com/office/word/2010/wordprocessingShape">
                    <wps:wsp>
                      <wps:cNvSpPr/>
                      <wps:spPr>
                        <a:xfrm>
                          <a:off x="0" y="0"/>
                          <a:ext cx="1028880" cy="6858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b/>
                                <w:b/>
                                <w:bCs/>
                                <w:sz w:val="28"/>
                              </w:rPr>
                            </w:pPr>
                            <w:r>
                              <w:rPr>
                                <w:b/>
                                <w:bCs/>
                                <w:sz w:val="28"/>
                              </w:rPr>
                              <w:t>II. stupeň</w:t>
                            </w:r>
                          </w:p>
                          <w:p>
                            <w:pPr>
                              <w:pStyle w:val="Obsahrmca"/>
                              <w:spacing w:before="0" w:after="200"/>
                              <w:jc w:val="center"/>
                              <w:rPr/>
                            </w:pPr>
                            <w:r>
                              <w:rPr>
                                <w:b/>
                                <w:bCs/>
                                <w:sz w:val="28"/>
                              </w:rPr>
                              <w:t>5.-9. ročník</w:t>
                            </w:r>
                          </w:p>
                        </w:txbxContent>
                      </wps:txbx>
                      <wps:bodyPr anchor="t" upright="1">
                        <a:noAutofit/>
                      </wps:bodyPr>
                    </wps:wsp>
                  </a:graphicData>
                </a:graphic>
              </wp:anchor>
            </w:drawing>
          </mc:Choice>
          <mc:Fallback>
            <w:pict>
              <v:rect id="shape_0" ID="Obdĺžnik 51" path="m0,0l-2147483645,0l-2147483645,-2147483646l0,-2147483646xe" fillcolor="white" stroked="t" o:allowincell="f" style="position:absolute;margin-left:336pt;margin-top:295.2pt;width:80.95pt;height:53.95pt;mso-wrap-style:square;v-text-anchor:top" wp14:anchorId="30631FDC">
                <v:fill o:detectmouseclick="t" type="solid" color2="black"/>
                <v:stroke color="black" weight="9360" joinstyle="miter" endcap="flat"/>
                <v:textbox>
                  <w:txbxContent>
                    <w:p>
                      <w:pPr>
                        <w:pStyle w:val="Obsahrmca"/>
                        <w:jc w:val="center"/>
                        <w:rPr>
                          <w:b/>
                          <w:b/>
                          <w:bCs/>
                          <w:sz w:val="28"/>
                        </w:rPr>
                      </w:pPr>
                      <w:r>
                        <w:rPr>
                          <w:b/>
                          <w:bCs/>
                          <w:sz w:val="28"/>
                        </w:rPr>
                        <w:t>II. stupeň</w:t>
                      </w:r>
                    </w:p>
                    <w:p>
                      <w:pPr>
                        <w:pStyle w:val="Obsahrmca"/>
                        <w:spacing w:before="0" w:after="200"/>
                        <w:jc w:val="center"/>
                        <w:rPr/>
                      </w:pPr>
                      <w:r>
                        <w:rPr>
                          <w:b/>
                          <w:bCs/>
                          <w:sz w:val="28"/>
                        </w:rPr>
                        <w:t>5.-9. ročník</w:t>
                      </w:r>
                    </w:p>
                  </w:txbxContent>
                </v:textbox>
                <w10:wrap type="none"/>
              </v:rect>
            </w:pict>
          </mc:Fallback>
        </mc:AlternateContent>
        <mc:AlternateContent>
          <mc:Choice Requires="wps">
            <w:drawing>
              <wp:anchor behindDoc="0" distT="10160" distB="8890" distL="13970" distR="5080" simplePos="0" locked="0" layoutInCell="0" allowOverlap="1" relativeHeight="12" wp14:anchorId="1260877A">
                <wp:simplePos x="0" y="0"/>
                <wp:positionH relativeFrom="column">
                  <wp:posOffset>1981200</wp:posOffset>
                </wp:positionH>
                <wp:positionV relativeFrom="paragraph">
                  <wp:posOffset>662940</wp:posOffset>
                </wp:positionV>
                <wp:extent cx="2057400" cy="635"/>
                <wp:effectExtent l="5080" t="5080" r="5080" b="5080"/>
                <wp:wrapNone/>
                <wp:docPr id="11" name="Rovná spojnica 52"/>
                <a:graphic xmlns:a="http://schemas.openxmlformats.org/drawingml/2006/main">
                  <a:graphicData uri="http://schemas.microsoft.com/office/word/2010/wordprocessingShape">
                    <wps:wsp>
                      <wps:cNvSpPr/>
                      <wps:spPr>
                        <a:xfrm>
                          <a:off x="0" y="0"/>
                          <a:ext cx="205740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56pt,52.2pt" to="317.95pt,52.2pt" ID="Rovná spojnica 52" stroked="t" o:allowincell="f" style="position:absolute" wp14:anchorId="1260877A">
                <v:stroke color="black" weight="9360" joinstyle="round" endcap="flat"/>
                <v:fill o:detectmouseclick="t" on="false"/>
                <w10:wrap type="none"/>
              </v:line>
            </w:pict>
          </mc:Fallback>
        </mc:AlternateContent>
        <mc:AlternateContent>
          <mc:Choice Requires="wps">
            <w:drawing>
              <wp:anchor behindDoc="0" distT="10160" distB="8890" distL="13970" distR="5080" simplePos="0" locked="0" layoutInCell="0" allowOverlap="1" relativeHeight="15" wp14:anchorId="424135E6">
                <wp:simplePos x="0" y="0"/>
                <wp:positionH relativeFrom="column">
                  <wp:posOffset>952500</wp:posOffset>
                </wp:positionH>
                <wp:positionV relativeFrom="paragraph">
                  <wp:posOffset>4892040</wp:posOffset>
                </wp:positionV>
                <wp:extent cx="914400" cy="457200"/>
                <wp:effectExtent l="5080" t="5080" r="5080" b="5080"/>
                <wp:wrapNone/>
                <wp:docPr id="12" name="Obdĺžnik 45"/>
                <a:graphic xmlns:a="http://schemas.openxmlformats.org/drawingml/2006/main">
                  <a:graphicData uri="http://schemas.microsoft.com/office/word/2010/wordprocessingShape">
                    <wps:wsp>
                      <wps:cNvSpPr/>
                      <wps:spPr>
                        <a:xfrm>
                          <a:off x="0" y="0"/>
                          <a:ext cx="91440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pPr>
                            <w:r>
                              <w:rPr/>
                              <w:t>Triedy s rozš. vyuč.</w:t>
                            </w:r>
                          </w:p>
                          <w:p>
                            <w:pPr>
                              <w:pStyle w:val="Obsahrmca"/>
                              <w:spacing w:before="0" w:after="200"/>
                              <w:rPr/>
                            </w:pPr>
                            <w:r>
                              <w:rPr/>
                              <w:t>s rozš. vyuč vzvyuč</w:t>
                            </w:r>
                          </w:p>
                        </w:txbxContent>
                      </wps:txbx>
                      <wps:bodyPr anchor="t" upright="1">
                        <a:noAutofit/>
                      </wps:bodyPr>
                    </wps:wsp>
                  </a:graphicData>
                </a:graphic>
              </wp:anchor>
            </w:drawing>
          </mc:Choice>
          <mc:Fallback>
            <w:pict>
              <v:rect id="shape_0" ID="Obdĺžnik 45" path="m0,0l-2147483645,0l-2147483645,-2147483646l0,-2147483646xe" fillcolor="white" stroked="t" o:allowincell="f" style="position:absolute;margin-left:75pt;margin-top:385.2pt;width:71.95pt;height:35.95pt;mso-wrap-style:square;v-text-anchor:top" wp14:anchorId="424135E6">
                <v:fill o:detectmouseclick="t" type="solid" color2="black"/>
                <v:stroke color="black" weight="9360" joinstyle="miter" endcap="flat"/>
                <v:textbox>
                  <w:txbxContent>
                    <w:p>
                      <w:pPr>
                        <w:pStyle w:val="Obsahrmca"/>
                        <w:jc w:val="center"/>
                        <w:rPr/>
                      </w:pPr>
                      <w:r>
                        <w:rPr/>
                        <w:t>Triedy s rozš. vyuč.</w:t>
                      </w:r>
                    </w:p>
                    <w:p>
                      <w:pPr>
                        <w:pStyle w:val="Obsahrmca"/>
                        <w:spacing w:before="0" w:after="200"/>
                        <w:rPr/>
                      </w:pPr>
                      <w:r>
                        <w:rPr/>
                        <w:t>s rozš. vyuč vzvyuč</w:t>
                      </w:r>
                    </w:p>
                  </w:txbxContent>
                </v:textbox>
                <w10:wrap type="none"/>
              </v:rect>
            </w:pict>
          </mc:Fallback>
        </mc:AlternateContent>
        <mc:AlternateContent>
          <mc:Choice Requires="wps">
            <w:drawing>
              <wp:anchor behindDoc="0" distT="10160" distB="8890" distL="13970" distR="5080" simplePos="0" locked="0" layoutInCell="0" allowOverlap="1" relativeHeight="17" wp14:anchorId="1448095C">
                <wp:simplePos x="0" y="0"/>
                <wp:positionH relativeFrom="column">
                  <wp:posOffset>-76200</wp:posOffset>
                </wp:positionH>
                <wp:positionV relativeFrom="paragraph">
                  <wp:posOffset>4892040</wp:posOffset>
                </wp:positionV>
                <wp:extent cx="800100" cy="457200"/>
                <wp:effectExtent l="5080" t="5080" r="5080" b="5080"/>
                <wp:wrapNone/>
                <wp:docPr id="14" name="Obdĺžnik 82"/>
                <a:graphic xmlns:a="http://schemas.openxmlformats.org/drawingml/2006/main">
                  <a:graphicData uri="http://schemas.microsoft.com/office/word/2010/wordprocessingShape">
                    <wps:wsp>
                      <wps:cNvSpPr/>
                      <wps:spPr>
                        <a:xfrm>
                          <a:off x="0" y="0"/>
                          <a:ext cx="80028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rPr/>
                            </w:pPr>
                            <w:r>
                              <w:rPr/>
                              <w:t xml:space="preserve">     </w:t>
                            </w:r>
                            <w:r>
                              <w:rPr/>
                              <w:t>MŠ</w:t>
                            </w:r>
                          </w:p>
                          <w:p>
                            <w:pPr>
                              <w:pStyle w:val="Obsahrmca"/>
                              <w:spacing w:before="0" w:after="200"/>
                              <w:jc w:val="center"/>
                              <w:rPr/>
                            </w:pPr>
                            <w:r>
                              <w:rPr/>
                              <w:t>triedy</w:t>
                            </w:r>
                          </w:p>
                        </w:txbxContent>
                      </wps:txbx>
                      <wps:bodyPr anchor="t" upright="1">
                        <a:noAutofit/>
                      </wps:bodyPr>
                    </wps:wsp>
                  </a:graphicData>
                </a:graphic>
              </wp:anchor>
            </w:drawing>
          </mc:Choice>
          <mc:Fallback>
            <w:pict>
              <v:rect id="shape_0" ID="Obdĺžnik 82" path="m0,0l-2147483645,0l-2147483645,-2147483646l0,-2147483646xe" fillcolor="white" stroked="t" o:allowincell="f" style="position:absolute;margin-left:-6pt;margin-top:385.2pt;width:62.95pt;height:35.95pt;mso-wrap-style:square;v-text-anchor:top" wp14:anchorId="1448095C">
                <v:fill o:detectmouseclick="t" type="solid" color2="black"/>
                <v:stroke color="black" weight="9360" joinstyle="miter" endcap="flat"/>
                <v:textbox>
                  <w:txbxContent>
                    <w:p>
                      <w:pPr>
                        <w:pStyle w:val="Obsahrmca"/>
                        <w:rPr/>
                      </w:pPr>
                      <w:r>
                        <w:rPr/>
                        <w:t xml:space="preserve">     </w:t>
                      </w:r>
                      <w:r>
                        <w:rPr/>
                        <w:t>MŠ</w:t>
                      </w:r>
                    </w:p>
                    <w:p>
                      <w:pPr>
                        <w:pStyle w:val="Obsahrmca"/>
                        <w:spacing w:before="0" w:after="200"/>
                        <w:jc w:val="center"/>
                        <w:rPr/>
                      </w:pPr>
                      <w:r>
                        <w:rPr/>
                        <w:t>triedy</w:t>
                      </w:r>
                    </w:p>
                  </w:txbxContent>
                </v:textbox>
                <w10:wrap type="none"/>
              </v:rect>
            </w:pict>
          </mc:Fallback>
        </mc:AlternateContent>
        <mc:AlternateContent>
          <mc:Choice Requires="wps">
            <w:drawing>
              <wp:anchor behindDoc="0" distT="10160" distB="8890" distL="13970" distR="5080" simplePos="0" locked="0" layoutInCell="0" allowOverlap="1" relativeHeight="19" wp14:anchorId="34304F2D">
                <wp:simplePos x="0" y="0"/>
                <wp:positionH relativeFrom="column">
                  <wp:posOffset>2209800</wp:posOffset>
                </wp:positionH>
                <wp:positionV relativeFrom="paragraph">
                  <wp:posOffset>4892040</wp:posOffset>
                </wp:positionV>
                <wp:extent cx="800100" cy="457200"/>
                <wp:effectExtent l="5080" t="5080" r="5080" b="5080"/>
                <wp:wrapNone/>
                <wp:docPr id="16" name="Obdĺžnik 46"/>
                <a:graphic xmlns:a="http://schemas.openxmlformats.org/drawingml/2006/main">
                  <a:graphicData uri="http://schemas.microsoft.com/office/word/2010/wordprocessingShape">
                    <wps:wsp>
                      <wps:cNvSpPr/>
                      <wps:spPr>
                        <a:xfrm>
                          <a:off x="0" y="0"/>
                          <a:ext cx="80028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pPr>
                            <w:r>
                              <w:rPr/>
                              <w:t>Bežné</w:t>
                            </w:r>
                          </w:p>
                          <w:p>
                            <w:pPr>
                              <w:pStyle w:val="Obsahrmca"/>
                              <w:spacing w:before="0" w:after="200"/>
                              <w:jc w:val="center"/>
                              <w:rPr/>
                            </w:pPr>
                            <w:r>
                              <w:rPr/>
                              <w:t>triedy</w:t>
                            </w:r>
                          </w:p>
                        </w:txbxContent>
                      </wps:txbx>
                      <wps:bodyPr anchor="t" upright="1">
                        <a:noAutofit/>
                      </wps:bodyPr>
                    </wps:wsp>
                  </a:graphicData>
                </a:graphic>
              </wp:anchor>
            </w:drawing>
          </mc:Choice>
          <mc:Fallback>
            <w:pict>
              <v:rect id="shape_0" ID="Obdĺžnik 46" path="m0,0l-2147483645,0l-2147483645,-2147483646l0,-2147483646xe" fillcolor="white" stroked="t" o:allowincell="f" style="position:absolute;margin-left:174pt;margin-top:385.2pt;width:62.95pt;height:35.95pt;mso-wrap-style:square;v-text-anchor:top" wp14:anchorId="34304F2D">
                <v:fill o:detectmouseclick="t" type="solid" color2="black"/>
                <v:stroke color="black" weight="9360" joinstyle="miter" endcap="flat"/>
                <v:textbox>
                  <w:txbxContent>
                    <w:p>
                      <w:pPr>
                        <w:pStyle w:val="Obsahrmca"/>
                        <w:jc w:val="center"/>
                        <w:rPr/>
                      </w:pPr>
                      <w:r>
                        <w:rPr/>
                        <w:t>Bežné</w:t>
                      </w:r>
                    </w:p>
                    <w:p>
                      <w:pPr>
                        <w:pStyle w:val="Obsahrmca"/>
                        <w:spacing w:before="0" w:after="200"/>
                        <w:jc w:val="center"/>
                        <w:rPr/>
                      </w:pPr>
                      <w:r>
                        <w:rPr/>
                        <w:t>triedy</w:t>
                      </w:r>
                    </w:p>
                  </w:txbxContent>
                </v:textbox>
                <w10:wrap type="none"/>
              </v:rect>
            </w:pict>
          </mc:Fallback>
        </mc:AlternateContent>
        <mc:AlternateContent>
          <mc:Choice Requires="wps">
            <w:drawing>
              <wp:anchor behindDoc="0" distT="10160" distB="8890" distL="13970" distR="5080" simplePos="0" locked="0" layoutInCell="0" allowOverlap="1" relativeHeight="21" wp14:anchorId="0EB7CA67">
                <wp:simplePos x="0" y="0"/>
                <wp:positionH relativeFrom="column">
                  <wp:posOffset>3238500</wp:posOffset>
                </wp:positionH>
                <wp:positionV relativeFrom="paragraph">
                  <wp:posOffset>4892040</wp:posOffset>
                </wp:positionV>
                <wp:extent cx="914400" cy="457200"/>
                <wp:effectExtent l="5080" t="5080" r="5080" b="5080"/>
                <wp:wrapNone/>
                <wp:docPr id="18" name="Obdĺžnik 81"/>
                <a:graphic xmlns:a="http://schemas.openxmlformats.org/drawingml/2006/main">
                  <a:graphicData uri="http://schemas.microsoft.com/office/word/2010/wordprocessingShape">
                    <wps:wsp>
                      <wps:cNvSpPr/>
                      <wps:spPr>
                        <a:xfrm>
                          <a:off x="0" y="0"/>
                          <a:ext cx="91440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spacing w:before="0" w:after="200"/>
                              <w:rPr/>
                            </w:pPr>
                            <w:r>
                              <w:rPr/>
                              <w:t>Triedy s rozš.vyuč.č</w:t>
                            </w:r>
                          </w:p>
                        </w:txbxContent>
                      </wps:txbx>
                      <wps:bodyPr anchor="t" upright="1">
                        <a:noAutofit/>
                      </wps:bodyPr>
                    </wps:wsp>
                  </a:graphicData>
                </a:graphic>
              </wp:anchor>
            </w:drawing>
          </mc:Choice>
          <mc:Fallback>
            <w:pict>
              <v:rect id="shape_0" ID="Obdĺžnik 81" path="m0,0l-2147483645,0l-2147483645,-2147483646l0,-2147483646xe" fillcolor="white" stroked="t" o:allowincell="f" style="position:absolute;margin-left:255pt;margin-top:385.2pt;width:71.95pt;height:35.95pt;mso-wrap-style:square;v-text-anchor:top" wp14:anchorId="0EB7CA67">
                <v:fill o:detectmouseclick="t" type="solid" color2="black"/>
                <v:stroke color="black" weight="9360" joinstyle="miter" endcap="flat"/>
                <v:textbox>
                  <w:txbxContent>
                    <w:p>
                      <w:pPr>
                        <w:pStyle w:val="Obsahrmca"/>
                        <w:spacing w:before="0" w:after="200"/>
                        <w:rPr/>
                      </w:pPr>
                      <w:r>
                        <w:rPr/>
                        <w:t>Triedy s rozš.vyuč.č</w:t>
                      </w:r>
                    </w:p>
                  </w:txbxContent>
                </v:textbox>
                <w10:wrap type="none"/>
              </v:rect>
            </w:pict>
          </mc:Fallback>
        </mc:AlternateContent>
        <mc:AlternateContent>
          <mc:Choice Requires="wps">
            <w:drawing>
              <wp:anchor behindDoc="0" distT="10160" distB="8890" distL="13970" distR="5080" simplePos="0" locked="0" layoutInCell="0" allowOverlap="1" relativeHeight="23" wp14:anchorId="6EBE4536">
                <wp:simplePos x="0" y="0"/>
                <wp:positionH relativeFrom="column">
                  <wp:posOffset>4381500</wp:posOffset>
                </wp:positionH>
                <wp:positionV relativeFrom="paragraph">
                  <wp:posOffset>4892040</wp:posOffset>
                </wp:positionV>
                <wp:extent cx="800100" cy="457200"/>
                <wp:effectExtent l="5080" t="5080" r="5080" b="5080"/>
                <wp:wrapNone/>
                <wp:docPr id="20" name="Obdĺžnik 47"/>
                <a:graphic xmlns:a="http://schemas.openxmlformats.org/drawingml/2006/main">
                  <a:graphicData uri="http://schemas.microsoft.com/office/word/2010/wordprocessingShape">
                    <wps:wsp>
                      <wps:cNvSpPr/>
                      <wps:spPr>
                        <a:xfrm>
                          <a:off x="0" y="0"/>
                          <a:ext cx="80028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spacing w:before="0" w:after="200"/>
                              <w:jc w:val="center"/>
                              <w:rPr/>
                            </w:pPr>
                            <w:r>
                              <w:rPr/>
                              <w:t>Bežné triedy</w:t>
                            </w:r>
                          </w:p>
                        </w:txbxContent>
                      </wps:txbx>
                      <wps:bodyPr anchor="t" upright="1">
                        <a:noAutofit/>
                      </wps:bodyPr>
                    </wps:wsp>
                  </a:graphicData>
                </a:graphic>
              </wp:anchor>
            </w:drawing>
          </mc:Choice>
          <mc:Fallback>
            <w:pict>
              <v:rect id="shape_0" ID="Obdĺžnik 47" path="m0,0l-2147483645,0l-2147483645,-2147483646l0,-2147483646xe" fillcolor="white" stroked="t" o:allowincell="f" style="position:absolute;margin-left:345pt;margin-top:385.2pt;width:62.95pt;height:35.95pt;mso-wrap-style:square;v-text-anchor:top" wp14:anchorId="6EBE4536">
                <v:fill o:detectmouseclick="t" type="solid" color2="black"/>
                <v:stroke color="black" weight="9360" joinstyle="miter" endcap="flat"/>
                <v:textbox>
                  <w:txbxContent>
                    <w:p>
                      <w:pPr>
                        <w:pStyle w:val="Obsahrmca"/>
                        <w:spacing w:before="0" w:after="200"/>
                        <w:jc w:val="center"/>
                        <w:rPr/>
                      </w:pPr>
                      <w:r>
                        <w:rPr/>
                        <w:t>Bežné triedy</w:t>
                      </w:r>
                    </w:p>
                  </w:txbxContent>
                </v:textbox>
                <w10:wrap type="none"/>
              </v:rect>
            </w:pict>
          </mc:Fallback>
        </mc:AlternateContent>
        <mc:AlternateContent>
          <mc:Choice Requires="wps">
            <w:drawing>
              <wp:anchor behindDoc="0" distT="10160" distB="8890" distL="13970" distR="5080" simplePos="0" locked="0" layoutInCell="0" allowOverlap="1" relativeHeight="25" wp14:anchorId="6E663DE0">
                <wp:simplePos x="0" y="0"/>
                <wp:positionH relativeFrom="column">
                  <wp:posOffset>5410200</wp:posOffset>
                </wp:positionH>
                <wp:positionV relativeFrom="paragraph">
                  <wp:posOffset>4892040</wp:posOffset>
                </wp:positionV>
                <wp:extent cx="914400" cy="457200"/>
                <wp:effectExtent l="5080" t="5080" r="5080" b="5080"/>
                <wp:wrapNone/>
                <wp:docPr id="22" name="Obdĺžnik 80"/>
                <a:graphic xmlns:a="http://schemas.openxmlformats.org/drawingml/2006/main">
                  <a:graphicData uri="http://schemas.microsoft.com/office/word/2010/wordprocessingShape">
                    <wps:wsp>
                      <wps:cNvSpPr/>
                      <wps:spPr>
                        <a:xfrm>
                          <a:off x="0" y="0"/>
                          <a:ext cx="914400" cy="45720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spacing w:before="0" w:after="200"/>
                              <w:jc w:val="center"/>
                              <w:rPr/>
                            </w:pPr>
                            <w:r>
                              <w:rPr/>
                              <w:t>Špeciálne triedy</w:t>
                            </w:r>
                          </w:p>
                        </w:txbxContent>
                      </wps:txbx>
                      <wps:bodyPr anchor="t" upright="1">
                        <a:noAutofit/>
                      </wps:bodyPr>
                    </wps:wsp>
                  </a:graphicData>
                </a:graphic>
              </wp:anchor>
            </w:drawing>
          </mc:Choice>
          <mc:Fallback>
            <w:pict>
              <v:rect id="shape_0" ID="Obdĺžnik 80" path="m0,0l-2147483645,0l-2147483645,-2147483646l0,-2147483646xe" fillcolor="white" stroked="t" o:allowincell="f" style="position:absolute;margin-left:426pt;margin-top:385.2pt;width:71.95pt;height:35.95pt;mso-wrap-style:square;v-text-anchor:top" wp14:anchorId="6E663DE0">
                <v:fill o:detectmouseclick="t" type="solid" color2="black"/>
                <v:stroke color="black" weight="9360" joinstyle="miter" endcap="flat"/>
                <v:textbox>
                  <w:txbxContent>
                    <w:p>
                      <w:pPr>
                        <w:pStyle w:val="Obsahrmca"/>
                        <w:spacing w:before="0" w:after="200"/>
                        <w:jc w:val="center"/>
                        <w:rPr/>
                      </w:pPr>
                      <w:r>
                        <w:rPr/>
                        <w:t>Špeciálne triedy</w:t>
                      </w:r>
                    </w:p>
                  </w:txbxContent>
                </v:textbox>
                <w10:wrap type="none"/>
              </v:rect>
            </w:pict>
          </mc:Fallback>
        </mc:AlternateContent>
        <mc:AlternateContent>
          <mc:Choice Requires="wps">
            <w:drawing>
              <wp:anchor behindDoc="0" distT="10160" distB="8890" distL="13970" distR="5080" simplePos="0" locked="0" layoutInCell="0" allowOverlap="1" relativeHeight="27" wp14:anchorId="77888446">
                <wp:simplePos x="0" y="0"/>
                <wp:positionH relativeFrom="column">
                  <wp:posOffset>1295400</wp:posOffset>
                </wp:positionH>
                <wp:positionV relativeFrom="paragraph">
                  <wp:posOffset>1234440</wp:posOffset>
                </wp:positionV>
                <wp:extent cx="0" cy="2514600"/>
                <wp:effectExtent l="5080" t="5080" r="5080" b="5080"/>
                <wp:wrapNone/>
                <wp:docPr id="24" name="Rovná spojnica 53"/>
                <a:graphic xmlns:a="http://schemas.openxmlformats.org/drawingml/2006/main">
                  <a:graphicData uri="http://schemas.microsoft.com/office/word/2010/wordprocessingShape">
                    <wps:wsp>
                      <wps:cNvSpPr/>
                      <wps:spPr>
                        <a:xfrm>
                          <a:off x="0" y="0"/>
                          <a:ext cx="0" cy="25146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2pt,97.2pt" to="102pt,295.15pt" ID="Rovná spojnica 53" stroked="t" o:allowincell="f" style="position:absolute" wp14:anchorId="77888446">
                <v:stroke color="black" weight="9360" joinstyle="round" endcap="flat"/>
                <v:fill o:detectmouseclick="t" on="false"/>
                <w10:wrap type="none"/>
              </v:line>
            </w:pict>
          </mc:Fallback>
        </mc:AlternateContent>
        <mc:AlternateContent>
          <mc:Choice Requires="wps">
            <w:drawing>
              <wp:anchor behindDoc="0" distT="10160" distB="8890" distL="13970" distR="5080" simplePos="0" locked="0" layoutInCell="0" allowOverlap="1" relativeHeight="28" wp14:anchorId="0B21F098">
                <wp:simplePos x="0" y="0"/>
                <wp:positionH relativeFrom="column">
                  <wp:posOffset>1295400</wp:posOffset>
                </wp:positionH>
                <wp:positionV relativeFrom="paragraph">
                  <wp:posOffset>1234440</wp:posOffset>
                </wp:positionV>
                <wp:extent cx="3543300" cy="2514600"/>
                <wp:effectExtent l="5080" t="5080" r="5080" b="5080"/>
                <wp:wrapNone/>
                <wp:docPr id="25" name="Rovná spojnica 54"/>
                <a:graphic xmlns:a="http://schemas.openxmlformats.org/drawingml/2006/main">
                  <a:graphicData uri="http://schemas.microsoft.com/office/word/2010/wordprocessingShape">
                    <wps:wsp>
                      <wps:cNvSpPr/>
                      <wps:spPr>
                        <a:xfrm>
                          <a:off x="0" y="0"/>
                          <a:ext cx="3543480" cy="25146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2pt,97.2pt" to="380.95pt,295.15pt" ID="Rovná spojnica 54" stroked="t" o:allowincell="f" style="position:absolute" wp14:anchorId="0B21F098">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29" wp14:anchorId="2DF25016">
                <wp:simplePos x="0" y="0"/>
                <wp:positionH relativeFrom="column">
                  <wp:posOffset>-76200</wp:posOffset>
                </wp:positionH>
                <wp:positionV relativeFrom="paragraph">
                  <wp:posOffset>5859780</wp:posOffset>
                </wp:positionV>
                <wp:extent cx="571500" cy="457200"/>
                <wp:effectExtent l="5080" t="5080" r="5715" b="5715"/>
                <wp:wrapNone/>
                <wp:docPr id="26" name="Ovál 64"/>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3</w:t>
                            </w:r>
                          </w:p>
                        </w:txbxContent>
                      </wps:txbx>
                      <wps:bodyPr anchor="t" upright="1">
                        <a:noAutofit/>
                      </wps:bodyPr>
                    </wps:wsp>
                  </a:graphicData>
                </a:graphic>
              </wp:anchor>
            </w:drawing>
          </mc:Choice>
          <mc:Fallback>
            <w:pict>
              <v:oval id="shape_0" ID="Ovál 64" path="l-2147483648,-2147483643l-2147483628,-2147483627l-2147483648,-2147483643l-2147483626,-2147483625xe" fillcolor="white" stroked="t" o:allowincell="f" style="position:absolute;margin-left:-6pt;margin-top:461.4pt;width:44.95pt;height:35.95pt;mso-wrap-style:square;v-text-anchor:top" wp14:anchorId="2DF25016">
                <v:fill o:detectmouseclick="t" type="solid" color2="black"/>
                <v:stroke color="black" weight="9360" joinstyle="round" endcap="flat"/>
                <v:textbox>
                  <w:txbxContent>
                    <w:p>
                      <w:pPr>
                        <w:pStyle w:val="Obsahrmca"/>
                        <w:spacing w:before="0" w:after="200"/>
                        <w:jc w:val="center"/>
                        <w:rPr>
                          <w:sz w:val="28"/>
                        </w:rPr>
                      </w:pPr>
                      <w:r>
                        <w:rPr>
                          <w:sz w:val="28"/>
                        </w:rPr>
                        <w:t>3</w:t>
                      </w:r>
                    </w:p>
                  </w:txbxContent>
                </v:textbox>
                <w10:wrap type="none"/>
              </v:oval>
            </w:pict>
          </mc:Fallback>
        </mc:AlternateContent>
        <mc:AlternateContent>
          <mc:Choice Requires="wps">
            <w:drawing>
              <wp:anchor behindDoc="0" distT="6350" distB="12700" distL="13970" distR="5080" simplePos="0" locked="0" layoutInCell="0" allowOverlap="1" relativeHeight="31" wp14:anchorId="7C26A941">
                <wp:simplePos x="0" y="0"/>
                <wp:positionH relativeFrom="column">
                  <wp:posOffset>1066800</wp:posOffset>
                </wp:positionH>
                <wp:positionV relativeFrom="paragraph">
                  <wp:posOffset>5859780</wp:posOffset>
                </wp:positionV>
                <wp:extent cx="571500" cy="457200"/>
                <wp:effectExtent l="5080" t="5080" r="5715" b="5715"/>
                <wp:wrapNone/>
                <wp:docPr id="28" name="Ovál 78"/>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4</w:t>
                            </w:r>
                          </w:p>
                        </w:txbxContent>
                      </wps:txbx>
                      <wps:bodyPr anchor="t" upright="1">
                        <a:noAutofit/>
                      </wps:bodyPr>
                    </wps:wsp>
                  </a:graphicData>
                </a:graphic>
              </wp:anchor>
            </w:drawing>
          </mc:Choice>
          <mc:Fallback>
            <w:pict>
              <v:oval id="shape_0" ID="Ovál 78" path="l-2147483648,-2147483643l-2147483628,-2147483627l-2147483648,-2147483643l-2147483626,-2147483625xe" fillcolor="white" stroked="t" o:allowincell="f" style="position:absolute;margin-left:84pt;margin-top:461.4pt;width:44.95pt;height:35.95pt;mso-wrap-style:square;v-text-anchor:top" wp14:anchorId="7C26A941">
                <v:fill o:detectmouseclick="t" type="solid" color2="black"/>
                <v:stroke color="black" weight="9360" joinstyle="round" endcap="flat"/>
                <v:textbox>
                  <w:txbxContent>
                    <w:p>
                      <w:pPr>
                        <w:pStyle w:val="Obsahrmca"/>
                        <w:spacing w:before="0" w:after="200"/>
                        <w:jc w:val="center"/>
                        <w:rPr>
                          <w:sz w:val="28"/>
                        </w:rPr>
                      </w:pPr>
                      <w:r>
                        <w:rPr>
                          <w:sz w:val="28"/>
                        </w:rPr>
                        <w:t>4</w:t>
                      </w:r>
                    </w:p>
                  </w:txbxContent>
                </v:textbox>
                <w10:wrap type="none"/>
              </v:oval>
            </w:pict>
          </mc:Fallback>
        </mc:AlternateContent>
        <mc:AlternateContent>
          <mc:Choice Requires="wps">
            <w:drawing>
              <wp:anchor behindDoc="0" distT="6350" distB="12700" distL="13970" distR="5080" simplePos="0" locked="0" layoutInCell="0" allowOverlap="1" relativeHeight="33" wp14:anchorId="3A821355">
                <wp:simplePos x="0" y="0"/>
                <wp:positionH relativeFrom="column">
                  <wp:posOffset>2324100</wp:posOffset>
                </wp:positionH>
                <wp:positionV relativeFrom="paragraph">
                  <wp:posOffset>5859780</wp:posOffset>
                </wp:positionV>
                <wp:extent cx="571500" cy="457200"/>
                <wp:effectExtent l="5080" t="5080" r="5715" b="5715"/>
                <wp:wrapNone/>
                <wp:docPr id="30" name="Ovál 60"/>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7</w:t>
                            </w:r>
                          </w:p>
                        </w:txbxContent>
                      </wps:txbx>
                      <wps:bodyPr anchor="t" upright="1">
                        <a:noAutofit/>
                      </wps:bodyPr>
                    </wps:wsp>
                  </a:graphicData>
                </a:graphic>
              </wp:anchor>
            </w:drawing>
          </mc:Choice>
          <mc:Fallback>
            <w:pict>
              <v:oval id="shape_0" ID="Ovál 60" path="l-2147483648,-2147483643l-2147483628,-2147483627l-2147483648,-2147483643l-2147483626,-2147483625xe" fillcolor="white" stroked="t" o:allowincell="f" style="position:absolute;margin-left:183pt;margin-top:461.4pt;width:44.95pt;height:35.95pt;mso-wrap-style:square;v-text-anchor:top" wp14:anchorId="3A821355">
                <v:fill o:detectmouseclick="t" type="solid" color2="black"/>
                <v:stroke color="black" weight="9360" joinstyle="round" endcap="flat"/>
                <v:textbox>
                  <w:txbxContent>
                    <w:p>
                      <w:pPr>
                        <w:pStyle w:val="Obsahrmca"/>
                        <w:spacing w:before="0" w:after="200"/>
                        <w:jc w:val="center"/>
                        <w:rPr>
                          <w:sz w:val="28"/>
                        </w:rPr>
                      </w:pPr>
                      <w:r>
                        <w:rPr>
                          <w:sz w:val="28"/>
                        </w:rPr>
                        <w:t>7</w:t>
                      </w:r>
                    </w:p>
                  </w:txbxContent>
                </v:textbox>
                <w10:wrap type="none"/>
              </v:oval>
            </w:pict>
          </mc:Fallback>
        </mc:AlternateContent>
        <mc:AlternateContent>
          <mc:Choice Requires="wps">
            <w:drawing>
              <wp:anchor behindDoc="0" distT="6350" distB="12700" distL="13970" distR="5080" simplePos="0" locked="0" layoutInCell="0" allowOverlap="1" relativeHeight="35" wp14:anchorId="50DB4F00">
                <wp:simplePos x="0" y="0"/>
                <wp:positionH relativeFrom="column">
                  <wp:posOffset>3352800</wp:posOffset>
                </wp:positionH>
                <wp:positionV relativeFrom="paragraph">
                  <wp:posOffset>5859780</wp:posOffset>
                </wp:positionV>
                <wp:extent cx="571500" cy="457200"/>
                <wp:effectExtent l="5080" t="5080" r="5715" b="5715"/>
                <wp:wrapNone/>
                <wp:docPr id="32" name="Ovál 76"/>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5</w:t>
                            </w:r>
                          </w:p>
                        </w:txbxContent>
                      </wps:txbx>
                      <wps:bodyPr anchor="t" upright="1">
                        <a:noAutofit/>
                      </wps:bodyPr>
                    </wps:wsp>
                  </a:graphicData>
                </a:graphic>
              </wp:anchor>
            </w:drawing>
          </mc:Choice>
          <mc:Fallback>
            <w:pict>
              <v:oval id="shape_0" ID="Ovál 76" path="l-2147483648,-2147483643l-2147483628,-2147483627l-2147483648,-2147483643l-2147483626,-2147483625xe" fillcolor="white" stroked="t" o:allowincell="f" style="position:absolute;margin-left:264pt;margin-top:461.4pt;width:44.95pt;height:35.95pt;mso-wrap-style:square;v-text-anchor:top" wp14:anchorId="50DB4F00">
                <v:fill o:detectmouseclick="t" type="solid" color2="black"/>
                <v:stroke color="black" weight="9360" joinstyle="round" endcap="flat"/>
                <v:textbox>
                  <w:txbxContent>
                    <w:p>
                      <w:pPr>
                        <w:pStyle w:val="Obsahrmca"/>
                        <w:spacing w:before="0" w:after="200"/>
                        <w:jc w:val="center"/>
                        <w:rPr>
                          <w:sz w:val="28"/>
                        </w:rPr>
                      </w:pPr>
                      <w:r>
                        <w:rPr>
                          <w:sz w:val="28"/>
                        </w:rPr>
                        <w:t>5</w:t>
                      </w:r>
                    </w:p>
                  </w:txbxContent>
                </v:textbox>
                <w10:wrap type="none"/>
              </v:oval>
            </w:pict>
          </mc:Fallback>
        </mc:AlternateContent>
        <mc:AlternateContent>
          <mc:Choice Requires="wps">
            <w:drawing>
              <wp:anchor behindDoc="0" distT="6350" distB="12700" distL="13970" distR="5080" simplePos="0" locked="0" layoutInCell="0" allowOverlap="1" relativeHeight="37" wp14:anchorId="50B202CB">
                <wp:simplePos x="0" y="0"/>
                <wp:positionH relativeFrom="column">
                  <wp:posOffset>4495800</wp:posOffset>
                </wp:positionH>
                <wp:positionV relativeFrom="paragraph">
                  <wp:posOffset>5859780</wp:posOffset>
                </wp:positionV>
                <wp:extent cx="571500" cy="457200"/>
                <wp:effectExtent l="5080" t="5080" r="5715" b="5715"/>
                <wp:wrapNone/>
                <wp:docPr id="34" name="Ovál 62"/>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11</w:t>
                            </w:r>
                          </w:p>
                        </w:txbxContent>
                      </wps:txbx>
                      <wps:bodyPr anchor="t" upright="1">
                        <a:noAutofit/>
                      </wps:bodyPr>
                    </wps:wsp>
                  </a:graphicData>
                </a:graphic>
              </wp:anchor>
            </w:drawing>
          </mc:Choice>
          <mc:Fallback>
            <w:pict>
              <v:oval id="shape_0" ID="Ovál 62" path="l-2147483648,-2147483643l-2147483628,-2147483627l-2147483648,-2147483643l-2147483626,-2147483625xe" fillcolor="white" stroked="t" o:allowincell="f" style="position:absolute;margin-left:354pt;margin-top:461.4pt;width:44.95pt;height:35.95pt;mso-wrap-style:square;v-text-anchor:top" wp14:anchorId="50B202CB">
                <v:fill o:detectmouseclick="t" type="solid" color2="black"/>
                <v:stroke color="black" weight="9360" joinstyle="round" endcap="flat"/>
                <v:textbox>
                  <w:txbxContent>
                    <w:p>
                      <w:pPr>
                        <w:pStyle w:val="Obsahrmca"/>
                        <w:spacing w:before="0" w:after="200"/>
                        <w:jc w:val="center"/>
                        <w:rPr>
                          <w:sz w:val="28"/>
                        </w:rPr>
                      </w:pPr>
                      <w:r>
                        <w:rPr>
                          <w:sz w:val="28"/>
                        </w:rPr>
                        <w:t>11</w:t>
                      </w:r>
                    </w:p>
                  </w:txbxContent>
                </v:textbox>
                <w10:wrap type="none"/>
              </v:oval>
            </w:pict>
          </mc:Fallback>
        </mc:AlternateContent>
        <mc:AlternateContent>
          <mc:Choice Requires="wps">
            <w:drawing>
              <wp:anchor behindDoc="0" distT="6350" distB="12700" distL="13970" distR="5080" simplePos="0" locked="0" layoutInCell="0" allowOverlap="1" relativeHeight="39" wp14:anchorId="2D99C854">
                <wp:simplePos x="0" y="0"/>
                <wp:positionH relativeFrom="column">
                  <wp:posOffset>5638800</wp:posOffset>
                </wp:positionH>
                <wp:positionV relativeFrom="paragraph">
                  <wp:posOffset>5859780</wp:posOffset>
                </wp:positionV>
                <wp:extent cx="571500" cy="457200"/>
                <wp:effectExtent l="5080" t="5080" r="5715" b="5715"/>
                <wp:wrapNone/>
                <wp:docPr id="36" name="Ovál 74"/>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0</w:t>
                            </w:r>
                          </w:p>
                        </w:txbxContent>
                      </wps:txbx>
                      <wps:bodyPr anchor="t" upright="1">
                        <a:noAutofit/>
                      </wps:bodyPr>
                    </wps:wsp>
                  </a:graphicData>
                </a:graphic>
              </wp:anchor>
            </w:drawing>
          </mc:Choice>
          <mc:Fallback>
            <w:pict>
              <v:oval id="shape_0" ID="Ovál 74" path="l-2147483648,-2147483643l-2147483628,-2147483627l-2147483648,-2147483643l-2147483626,-2147483625xe" fillcolor="white" stroked="t" o:allowincell="f" style="position:absolute;margin-left:444pt;margin-top:461.4pt;width:44.95pt;height:35.95pt;mso-wrap-style:square;v-text-anchor:top" wp14:anchorId="2D99C854">
                <v:fill o:detectmouseclick="t" type="solid" color2="black"/>
                <v:stroke color="black" weight="9360" joinstyle="round" endcap="flat"/>
                <v:textbox>
                  <w:txbxContent>
                    <w:p>
                      <w:pPr>
                        <w:pStyle w:val="Obsahrmca"/>
                        <w:spacing w:before="0" w:after="200"/>
                        <w:jc w:val="center"/>
                        <w:rPr>
                          <w:sz w:val="28"/>
                        </w:rPr>
                      </w:pPr>
                      <w:r>
                        <w:rPr>
                          <w:sz w:val="28"/>
                        </w:rPr>
                        <w:t>0</w:t>
                      </w:r>
                    </w:p>
                  </w:txbxContent>
                </v:textbox>
                <w10:wrap type="none"/>
              </v:oval>
            </w:pict>
          </mc:Fallback>
        </mc:AlternateContent>
        <mc:AlternateContent>
          <mc:Choice Requires="wps">
            <w:drawing>
              <wp:anchor behindDoc="0" distT="6350" distB="12700" distL="13970" distR="5080" simplePos="0" locked="0" layoutInCell="0" allowOverlap="1" relativeHeight="42" wp14:anchorId="159AB03F">
                <wp:simplePos x="0" y="0"/>
                <wp:positionH relativeFrom="column">
                  <wp:posOffset>1295400</wp:posOffset>
                </wp:positionH>
                <wp:positionV relativeFrom="paragraph">
                  <wp:posOffset>4488180</wp:posOffset>
                </wp:positionV>
                <wp:extent cx="0" cy="342900"/>
                <wp:effectExtent l="5080" t="5080" r="5080" b="5080"/>
                <wp:wrapNone/>
                <wp:docPr id="38" name="Rovná spojnica 55"/>
                <a:graphic xmlns:a="http://schemas.openxmlformats.org/drawingml/2006/main">
                  <a:graphicData uri="http://schemas.microsoft.com/office/word/2010/wordprocessingShape">
                    <wps:wsp>
                      <wps:cNvSpPr/>
                      <wps:spPr>
                        <a:xfrm>
                          <a:off x="0" y="0"/>
                          <a:ext cx="0" cy="3430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2pt,353.4pt" to="102pt,380.35pt" ID="Rovná spojnica 55" stroked="t" o:allowincell="f" style="position:absolute" wp14:anchorId="159AB03F">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3" wp14:anchorId="370A1823">
                <wp:simplePos x="0" y="0"/>
                <wp:positionH relativeFrom="column">
                  <wp:posOffset>1866900</wp:posOffset>
                </wp:positionH>
                <wp:positionV relativeFrom="paragraph">
                  <wp:posOffset>4145280</wp:posOffset>
                </wp:positionV>
                <wp:extent cx="685800" cy="685800"/>
                <wp:effectExtent l="5080" t="5080" r="5080" b="5080"/>
                <wp:wrapNone/>
                <wp:docPr id="39" name="Rovná spojnica 56"/>
                <a:graphic xmlns:a="http://schemas.openxmlformats.org/drawingml/2006/main">
                  <a:graphicData uri="http://schemas.microsoft.com/office/word/2010/wordprocessingShape">
                    <wps:wsp>
                      <wps:cNvSpPr/>
                      <wps:spPr>
                        <a:xfrm>
                          <a:off x="0" y="0"/>
                          <a:ext cx="685800" cy="6858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47pt,326.4pt" to="200.95pt,380.35pt" ID="Rovná spojnica 56" stroked="t" o:allowincell="f" style="position:absolute" wp14:anchorId="370A1823">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4" wp14:anchorId="32798E4D">
                <wp:simplePos x="0" y="0"/>
                <wp:positionH relativeFrom="column">
                  <wp:posOffset>3695700</wp:posOffset>
                </wp:positionH>
                <wp:positionV relativeFrom="paragraph">
                  <wp:posOffset>4145280</wp:posOffset>
                </wp:positionV>
                <wp:extent cx="571500" cy="685800"/>
                <wp:effectExtent l="5080" t="5080" r="5080" b="5080"/>
                <wp:wrapNone/>
                <wp:docPr id="40" name="Rovná spojnica 57"/>
                <a:graphic xmlns:a="http://schemas.openxmlformats.org/drawingml/2006/main">
                  <a:graphicData uri="http://schemas.microsoft.com/office/word/2010/wordprocessingShape">
                    <wps:wsp>
                      <wps:cNvSpPr/>
                      <wps:spPr>
                        <a:xfrm flipH="1">
                          <a:off x="0" y="0"/>
                          <a:ext cx="571680" cy="6858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91pt,326.4pt" to="335.95pt,380.35pt" ID="Rovná spojnica 57" stroked="t" o:allowincell="f" style="position:absolute;flip:x" wp14:anchorId="32798E4D">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5" wp14:anchorId="64060677">
                <wp:simplePos x="0" y="0"/>
                <wp:positionH relativeFrom="column">
                  <wp:posOffset>4838700</wp:posOffset>
                </wp:positionH>
                <wp:positionV relativeFrom="paragraph">
                  <wp:posOffset>4488180</wp:posOffset>
                </wp:positionV>
                <wp:extent cx="635" cy="342900"/>
                <wp:effectExtent l="5080" t="5080" r="5080" b="5080"/>
                <wp:wrapNone/>
                <wp:docPr id="41" name="Rovná spojnica 58"/>
                <a:graphic xmlns:a="http://schemas.openxmlformats.org/drawingml/2006/main">
                  <a:graphicData uri="http://schemas.microsoft.com/office/word/2010/wordprocessingShape">
                    <wps:wsp>
                      <wps:cNvSpPr/>
                      <wps:spPr>
                        <a:xfrm>
                          <a:off x="0" y="0"/>
                          <a:ext cx="720" cy="3430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1pt,353.4pt" to="381pt,380.35pt" ID="Rovná spojnica 58" stroked="t" o:allowincell="f" style="position:absolute" wp14:anchorId="64060677">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6" wp14:anchorId="7993FEFB">
                <wp:simplePos x="0" y="0"/>
                <wp:positionH relativeFrom="column">
                  <wp:posOffset>5295900</wp:posOffset>
                </wp:positionH>
                <wp:positionV relativeFrom="paragraph">
                  <wp:posOffset>4145280</wp:posOffset>
                </wp:positionV>
                <wp:extent cx="571500" cy="685800"/>
                <wp:effectExtent l="5080" t="5080" r="5080" b="5080"/>
                <wp:wrapNone/>
                <wp:docPr id="42" name="Rovná spojnica 59"/>
                <a:graphic xmlns:a="http://schemas.openxmlformats.org/drawingml/2006/main">
                  <a:graphicData uri="http://schemas.microsoft.com/office/word/2010/wordprocessingShape">
                    <wps:wsp>
                      <wps:cNvSpPr/>
                      <wps:spPr>
                        <a:xfrm>
                          <a:off x="0" y="0"/>
                          <a:ext cx="571680" cy="6858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17pt,326.4pt" to="461.95pt,380.35pt" ID="Rovná spojnica 59" stroked="t" o:allowincell="f" style="position:absolute" wp14:anchorId="7993FEFB">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7" wp14:anchorId="6B32A4FC">
                <wp:simplePos x="0" y="0"/>
                <wp:positionH relativeFrom="column">
                  <wp:posOffset>1409700</wp:posOffset>
                </wp:positionH>
                <wp:positionV relativeFrom="paragraph">
                  <wp:posOffset>5402580</wp:posOffset>
                </wp:positionV>
                <wp:extent cx="635" cy="457200"/>
                <wp:effectExtent l="5080" t="5080" r="5080" b="5080"/>
                <wp:wrapNone/>
                <wp:docPr id="43" name="Rovná spojnica 79"/>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11pt,425.4pt" to="111pt,461.35pt" ID="Rovná spojnica 79" stroked="t" o:allowincell="f" style="position:absolute" wp14:anchorId="6B32A4FC">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8" wp14:anchorId="633F0044">
                <wp:simplePos x="0" y="0"/>
                <wp:positionH relativeFrom="column">
                  <wp:posOffset>2667000</wp:posOffset>
                </wp:positionH>
                <wp:positionV relativeFrom="paragraph">
                  <wp:posOffset>5402580</wp:posOffset>
                </wp:positionV>
                <wp:extent cx="0" cy="457200"/>
                <wp:effectExtent l="5080" t="5080" r="5080" b="5080"/>
                <wp:wrapNone/>
                <wp:docPr id="44" name="Rovná spojnica 61"/>
                <a:graphic xmlns:a="http://schemas.openxmlformats.org/drawingml/2006/main">
                  <a:graphicData uri="http://schemas.microsoft.com/office/word/2010/wordprocessingShape">
                    <wps:wsp>
                      <wps:cNvSpPr/>
                      <wps:spPr>
                        <a:xfrm>
                          <a:off x="0" y="0"/>
                          <a:ext cx="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10pt,425.4pt" to="210pt,461.35pt" ID="Rovná spojnica 61" stroked="t" o:allowincell="f" style="position:absolute" wp14:anchorId="633F0044">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49" wp14:anchorId="2CFC6C81">
                <wp:simplePos x="0" y="0"/>
                <wp:positionH relativeFrom="column">
                  <wp:posOffset>3695700</wp:posOffset>
                </wp:positionH>
                <wp:positionV relativeFrom="paragraph">
                  <wp:posOffset>5402580</wp:posOffset>
                </wp:positionV>
                <wp:extent cx="635" cy="457200"/>
                <wp:effectExtent l="5080" t="5080" r="5080" b="5080"/>
                <wp:wrapNone/>
                <wp:docPr id="45" name="Rovná spojnica 77"/>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91pt,425.4pt" to="291pt,461.35pt" ID="Rovná spojnica 77" stroked="t" o:allowincell="f" style="position:absolute" wp14:anchorId="2CFC6C81">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50" wp14:anchorId="2B03A9EB">
                <wp:simplePos x="0" y="0"/>
                <wp:positionH relativeFrom="column">
                  <wp:posOffset>4838700</wp:posOffset>
                </wp:positionH>
                <wp:positionV relativeFrom="paragraph">
                  <wp:posOffset>5402580</wp:posOffset>
                </wp:positionV>
                <wp:extent cx="635" cy="457200"/>
                <wp:effectExtent l="5080" t="5080" r="5080" b="5080"/>
                <wp:wrapNone/>
                <wp:docPr id="46" name="Rovná spojnica 63"/>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1pt,425.4pt" to="381pt,461.35pt" ID="Rovná spojnica 63" stroked="t" o:allowincell="f" style="position:absolute" wp14:anchorId="2B03A9EB">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51" wp14:anchorId="48752BB2">
                <wp:simplePos x="0" y="0"/>
                <wp:positionH relativeFrom="column">
                  <wp:posOffset>5867400</wp:posOffset>
                </wp:positionH>
                <wp:positionV relativeFrom="paragraph">
                  <wp:posOffset>5402580</wp:posOffset>
                </wp:positionV>
                <wp:extent cx="0" cy="457200"/>
                <wp:effectExtent l="5080" t="5080" r="5080" b="5080"/>
                <wp:wrapNone/>
                <wp:docPr id="47" name="Rovná spojnica 75"/>
                <a:graphic xmlns:a="http://schemas.openxmlformats.org/drawingml/2006/main">
                  <a:graphicData uri="http://schemas.microsoft.com/office/word/2010/wordprocessingShape">
                    <wps:wsp>
                      <wps:cNvSpPr/>
                      <wps:spPr>
                        <a:xfrm>
                          <a:off x="0" y="0"/>
                          <a:ext cx="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62pt,425.4pt" to="462pt,461.35pt" ID="Rovná spojnica 75" stroked="t" o:allowincell="f" style="position:absolute" wp14:anchorId="48752BB2">
                <v:stroke color="black" weight="9360" joinstyle="round" endcap="flat"/>
                <v:fill o:detectmouseclick="t" on="false"/>
                <w10:wrap type="none"/>
              </v:line>
            </w:pict>
          </mc:Fallback>
        </mc:AlternateContent>
        <mc:AlternateContent>
          <mc:Choice Requires="wps">
            <w:drawing>
              <wp:anchor behindDoc="0" distT="6350" distB="12700" distL="13970" distR="5080" simplePos="0" locked="0" layoutInCell="0" allowOverlap="1" relativeHeight="52" wp14:anchorId="79C86CDD">
                <wp:simplePos x="0" y="0"/>
                <wp:positionH relativeFrom="column">
                  <wp:posOffset>152400</wp:posOffset>
                </wp:positionH>
                <wp:positionV relativeFrom="paragraph">
                  <wp:posOffset>5402580</wp:posOffset>
                </wp:positionV>
                <wp:extent cx="0" cy="457200"/>
                <wp:effectExtent l="5080" t="5080" r="5080" b="5080"/>
                <wp:wrapNone/>
                <wp:docPr id="48" name="Rovná spojnica 65"/>
                <a:graphic xmlns:a="http://schemas.openxmlformats.org/drawingml/2006/main">
                  <a:graphicData uri="http://schemas.microsoft.com/office/word/2010/wordprocessingShape">
                    <wps:wsp>
                      <wps:cNvSpPr/>
                      <wps:spPr>
                        <a:xfrm>
                          <a:off x="0" y="0"/>
                          <a:ext cx="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2pt,425.4pt" to="12pt,461.35pt" ID="Rovná spojnica 65" stroked="t" o:allowincell="f" style="position:absolute" wp14:anchorId="79C86CDD">
                <v:stroke color="black" weight="9360" joinstyle="round" endcap="flat"/>
                <v:fill o:detectmouseclick="t" on="false"/>
                <w10:wrap type="none"/>
              </v:line>
            </w:pict>
          </mc:Fallback>
        </mc:AlternateContent>
        <mc:AlternateContent>
          <mc:Choice Requires="wps">
            <w:drawing>
              <wp:anchor behindDoc="0" distT="12065" distB="6985" distL="13970" distR="5080" simplePos="0" locked="0" layoutInCell="0" allowOverlap="1" relativeHeight="53" wp14:anchorId="4AFE8315">
                <wp:simplePos x="0" y="0"/>
                <wp:positionH relativeFrom="column">
                  <wp:posOffset>838200</wp:posOffset>
                </wp:positionH>
                <wp:positionV relativeFrom="paragraph">
                  <wp:posOffset>6827520</wp:posOffset>
                </wp:positionV>
                <wp:extent cx="1028700" cy="571500"/>
                <wp:effectExtent l="5080" t="5080" r="5080" b="5080"/>
                <wp:wrapNone/>
                <wp:docPr id="49" name="Obdĺžnik 70"/>
                <a:graphic xmlns:a="http://schemas.openxmlformats.org/drawingml/2006/main">
                  <a:graphicData uri="http://schemas.microsoft.com/office/word/2010/wordprocessingShape">
                    <wps:wsp>
                      <wps:cNvSpPr/>
                      <wps:spPr>
                        <a:xfrm>
                          <a:off x="0" y="0"/>
                          <a:ext cx="1028880" cy="57168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pPr>
                            <w:r>
                              <w:rPr/>
                              <w:t>Triedy s rozš.</w:t>
                            </w:r>
                          </w:p>
                          <w:p>
                            <w:pPr>
                              <w:pStyle w:val="Obsahrmca"/>
                              <w:spacing w:before="0" w:after="200"/>
                              <w:jc w:val="center"/>
                              <w:rPr/>
                            </w:pPr>
                            <w:r>
                              <w:rPr/>
                              <w:t>vyuč.ŠP</w:t>
                            </w:r>
                          </w:p>
                        </w:txbxContent>
                      </wps:txbx>
                      <wps:bodyPr anchor="t" upright="1">
                        <a:noAutofit/>
                      </wps:bodyPr>
                    </wps:wsp>
                  </a:graphicData>
                </a:graphic>
              </wp:anchor>
            </w:drawing>
          </mc:Choice>
          <mc:Fallback>
            <w:pict>
              <v:rect id="shape_0" ID="Obdĺžnik 70" path="m0,0l-2147483645,0l-2147483645,-2147483646l0,-2147483646xe" fillcolor="white" stroked="t" o:allowincell="f" style="position:absolute;margin-left:66pt;margin-top:537.6pt;width:80.95pt;height:44.95pt;mso-wrap-style:square;v-text-anchor:top" wp14:anchorId="4AFE8315">
                <v:fill o:detectmouseclick="t" type="solid" color2="black"/>
                <v:stroke color="black" weight="9360" joinstyle="miter" endcap="flat"/>
                <v:textbox>
                  <w:txbxContent>
                    <w:p>
                      <w:pPr>
                        <w:pStyle w:val="Obsahrmca"/>
                        <w:jc w:val="center"/>
                        <w:rPr/>
                      </w:pPr>
                      <w:r>
                        <w:rPr/>
                        <w:t>Triedy s rozš.</w:t>
                      </w:r>
                    </w:p>
                    <w:p>
                      <w:pPr>
                        <w:pStyle w:val="Obsahrmca"/>
                        <w:spacing w:before="0" w:after="200"/>
                        <w:jc w:val="center"/>
                        <w:rPr/>
                      </w:pPr>
                      <w:r>
                        <w:rPr/>
                        <w:t>vyuč.ŠP</w:t>
                      </w:r>
                    </w:p>
                  </w:txbxContent>
                </v:textbox>
                <w10:wrap type="none"/>
              </v:rect>
            </w:pict>
          </mc:Fallback>
        </mc:AlternateContent>
        <mc:AlternateContent>
          <mc:Choice Requires="wps">
            <w:drawing>
              <wp:anchor behindDoc="0" distT="12065" distB="6985" distL="13970" distR="5080" simplePos="0" locked="0" layoutInCell="0" allowOverlap="1" relativeHeight="55" wp14:anchorId="7CB5476E">
                <wp:simplePos x="0" y="0"/>
                <wp:positionH relativeFrom="column">
                  <wp:posOffset>3238500</wp:posOffset>
                </wp:positionH>
                <wp:positionV relativeFrom="paragraph">
                  <wp:posOffset>6827520</wp:posOffset>
                </wp:positionV>
                <wp:extent cx="1028700" cy="571500"/>
                <wp:effectExtent l="5080" t="5080" r="5080" b="5080"/>
                <wp:wrapNone/>
                <wp:docPr id="51" name="Obdĺžnik 66"/>
                <a:graphic xmlns:a="http://schemas.openxmlformats.org/drawingml/2006/main">
                  <a:graphicData uri="http://schemas.microsoft.com/office/word/2010/wordprocessingShape">
                    <wps:wsp>
                      <wps:cNvSpPr/>
                      <wps:spPr>
                        <a:xfrm>
                          <a:off x="0" y="0"/>
                          <a:ext cx="1028880" cy="57168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a"/>
                              <w:jc w:val="center"/>
                              <w:rPr/>
                            </w:pPr>
                            <w:r>
                              <w:rPr/>
                              <w:t>Triedy s rozš.</w:t>
                            </w:r>
                          </w:p>
                          <w:p>
                            <w:pPr>
                              <w:pStyle w:val="Obsahrmca"/>
                              <w:spacing w:before="0" w:after="200"/>
                              <w:jc w:val="center"/>
                              <w:rPr/>
                            </w:pPr>
                            <w:r>
                              <w:rPr/>
                              <w:t>vyuč. ŠP</w:t>
                            </w:r>
                          </w:p>
                        </w:txbxContent>
                      </wps:txbx>
                      <wps:bodyPr anchor="t" upright="1">
                        <a:noAutofit/>
                      </wps:bodyPr>
                    </wps:wsp>
                  </a:graphicData>
                </a:graphic>
              </wp:anchor>
            </w:drawing>
          </mc:Choice>
          <mc:Fallback>
            <w:pict>
              <v:rect id="shape_0" ID="Obdĺžnik 66" path="m0,0l-2147483645,0l-2147483645,-2147483646l0,-2147483646xe" fillcolor="white" stroked="t" o:allowincell="f" style="position:absolute;margin-left:255pt;margin-top:537.6pt;width:80.95pt;height:44.95pt;mso-wrap-style:square;v-text-anchor:top" wp14:anchorId="7CB5476E">
                <v:fill o:detectmouseclick="t" type="solid" color2="black"/>
                <v:stroke color="black" weight="9360" joinstyle="miter" endcap="flat"/>
                <v:textbox>
                  <w:txbxContent>
                    <w:p>
                      <w:pPr>
                        <w:pStyle w:val="Obsahrmca"/>
                        <w:jc w:val="center"/>
                        <w:rPr/>
                      </w:pPr>
                      <w:r>
                        <w:rPr/>
                        <w:t>Triedy s rozš.</w:t>
                      </w:r>
                    </w:p>
                    <w:p>
                      <w:pPr>
                        <w:pStyle w:val="Obsahrmca"/>
                        <w:spacing w:before="0" w:after="200"/>
                        <w:jc w:val="center"/>
                        <w:rPr/>
                      </w:pPr>
                      <w:r>
                        <w:rPr/>
                        <w:t>vyuč. ŠP</w:t>
                      </w:r>
                    </w:p>
                  </w:txbxContent>
                </v:textbox>
                <w10:wrap type="none"/>
              </v:rect>
            </w:pict>
          </mc:Fallback>
        </mc:AlternateContent>
        <mc:AlternateContent>
          <mc:Choice Requires="wps">
            <w:drawing>
              <wp:anchor behindDoc="0" distT="12065" distB="6985" distL="13970" distR="5080" simplePos="0" locked="0" layoutInCell="0" allowOverlap="1" relativeHeight="57" wp14:anchorId="560C42FD">
                <wp:simplePos x="0" y="0"/>
                <wp:positionH relativeFrom="column">
                  <wp:posOffset>1066800</wp:posOffset>
                </wp:positionH>
                <wp:positionV relativeFrom="paragraph">
                  <wp:posOffset>7856220</wp:posOffset>
                </wp:positionV>
                <wp:extent cx="571500" cy="457200"/>
                <wp:effectExtent l="5080" t="5080" r="5715" b="5080"/>
                <wp:wrapNone/>
                <wp:docPr id="53" name="Ovál 71"/>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4</w:t>
                            </w:r>
                          </w:p>
                        </w:txbxContent>
                      </wps:txbx>
                      <wps:bodyPr anchor="t" upright="1">
                        <a:noAutofit/>
                      </wps:bodyPr>
                    </wps:wsp>
                  </a:graphicData>
                </a:graphic>
              </wp:anchor>
            </w:drawing>
          </mc:Choice>
          <mc:Fallback>
            <w:pict>
              <v:oval id="shape_0" ID="Ovál 71" path="l-2147483648,-2147483643l-2147483628,-2147483627l-2147483648,-2147483643l-2147483626,-2147483625xe" fillcolor="white" stroked="t" o:allowincell="f" style="position:absolute;margin-left:84pt;margin-top:618.6pt;width:44.95pt;height:35.95pt;mso-wrap-style:square;v-text-anchor:top" wp14:anchorId="560C42FD">
                <v:fill o:detectmouseclick="t" type="solid" color2="black"/>
                <v:stroke color="black" weight="9360" joinstyle="round" endcap="flat"/>
                <v:textbox>
                  <w:txbxContent>
                    <w:p>
                      <w:pPr>
                        <w:pStyle w:val="Obsahrmca"/>
                        <w:spacing w:before="0" w:after="200"/>
                        <w:jc w:val="center"/>
                        <w:rPr>
                          <w:sz w:val="28"/>
                        </w:rPr>
                      </w:pPr>
                      <w:r>
                        <w:rPr>
                          <w:sz w:val="28"/>
                        </w:rPr>
                        <w:t>4</w:t>
                      </w:r>
                    </w:p>
                  </w:txbxContent>
                </v:textbox>
                <w10:wrap type="none"/>
              </v:oval>
            </w:pict>
          </mc:Fallback>
        </mc:AlternateContent>
        <mc:AlternateContent>
          <mc:Choice Requires="wps">
            <w:drawing>
              <wp:anchor behindDoc="0" distT="12065" distB="6985" distL="13970" distR="5080" simplePos="0" locked="0" layoutInCell="0" allowOverlap="1" relativeHeight="59" wp14:anchorId="0E3304F5">
                <wp:simplePos x="0" y="0"/>
                <wp:positionH relativeFrom="column">
                  <wp:posOffset>3467100</wp:posOffset>
                </wp:positionH>
                <wp:positionV relativeFrom="paragraph">
                  <wp:posOffset>7856220</wp:posOffset>
                </wp:positionV>
                <wp:extent cx="571500" cy="457200"/>
                <wp:effectExtent l="5080" t="5080" r="5715" b="5080"/>
                <wp:wrapNone/>
                <wp:docPr id="55" name="Ovál 67"/>
                <a:graphic xmlns:a="http://schemas.openxmlformats.org/drawingml/2006/main">
                  <a:graphicData uri="http://schemas.microsoft.com/office/word/2010/wordprocessingShape">
                    <wps:wsp>
                      <wps:cNvSpPr/>
                      <wps:spPr>
                        <a:xfrm>
                          <a:off x="0" y="0"/>
                          <a:ext cx="571680" cy="457200"/>
                        </a:xfrm>
                        <a:prstGeom prst="ellipse">
                          <a:avLst/>
                        </a:prstGeom>
                        <a:solidFill>
                          <a:srgbClr val="ffffff"/>
                        </a:solidFill>
                        <a:ln w="9525">
                          <a:solidFill>
                            <a:srgbClr val="000000"/>
                          </a:solidFill>
                          <a:round/>
                        </a:ln>
                      </wps:spPr>
                      <wps:style>
                        <a:lnRef idx="0"/>
                        <a:fillRef idx="0"/>
                        <a:effectRef idx="0"/>
                        <a:fontRef idx="minor"/>
                      </wps:style>
                      <wps:txbx>
                        <w:txbxContent>
                          <w:p>
                            <w:pPr>
                              <w:pStyle w:val="Obsahrmca"/>
                              <w:spacing w:before="0" w:after="200"/>
                              <w:jc w:val="center"/>
                              <w:rPr>
                                <w:sz w:val="28"/>
                              </w:rPr>
                            </w:pPr>
                            <w:r>
                              <w:rPr>
                                <w:sz w:val="28"/>
                              </w:rPr>
                              <w:t>5</w:t>
                            </w:r>
                          </w:p>
                        </w:txbxContent>
                      </wps:txbx>
                      <wps:bodyPr anchor="t" upright="1">
                        <a:noAutofit/>
                      </wps:bodyPr>
                    </wps:wsp>
                  </a:graphicData>
                </a:graphic>
              </wp:anchor>
            </w:drawing>
          </mc:Choice>
          <mc:Fallback>
            <w:pict>
              <v:oval id="shape_0" ID="Ovál 67" path="l-2147483648,-2147483643l-2147483628,-2147483627l-2147483648,-2147483643l-2147483626,-2147483625xe" fillcolor="white" stroked="t" o:allowincell="f" style="position:absolute;margin-left:273pt;margin-top:618.6pt;width:44.95pt;height:35.95pt;mso-wrap-style:square;v-text-anchor:top" wp14:anchorId="0E3304F5">
                <v:fill o:detectmouseclick="t" type="solid" color2="black"/>
                <v:stroke color="black" weight="9360" joinstyle="round" endcap="flat"/>
                <v:textbox>
                  <w:txbxContent>
                    <w:p>
                      <w:pPr>
                        <w:pStyle w:val="Obsahrmca"/>
                        <w:spacing w:before="0" w:after="200"/>
                        <w:jc w:val="center"/>
                        <w:rPr>
                          <w:sz w:val="28"/>
                        </w:rPr>
                      </w:pPr>
                      <w:r>
                        <w:rPr>
                          <w:sz w:val="28"/>
                        </w:rPr>
                        <w:t>5</w:t>
                      </w:r>
                    </w:p>
                  </w:txbxContent>
                </v:textbox>
                <w10:wrap type="none"/>
              </v:oval>
            </w:pict>
          </mc:Fallback>
        </mc:AlternateContent>
        <mc:AlternateContent>
          <mc:Choice Requires="wps">
            <w:drawing>
              <wp:anchor behindDoc="0" distT="12065" distB="6985" distL="13970" distR="5080" simplePos="0" locked="0" layoutInCell="0" allowOverlap="1" relativeHeight="61" wp14:anchorId="608CF8EB">
                <wp:simplePos x="0" y="0"/>
                <wp:positionH relativeFrom="column">
                  <wp:posOffset>1409700</wp:posOffset>
                </wp:positionH>
                <wp:positionV relativeFrom="paragraph">
                  <wp:posOffset>6370320</wp:posOffset>
                </wp:positionV>
                <wp:extent cx="635" cy="457200"/>
                <wp:effectExtent l="5080" t="5080" r="5080" b="5080"/>
                <wp:wrapNone/>
                <wp:docPr id="57" name="Rovná spojnica 72"/>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11pt,501.6pt" to="111pt,537.55pt" ID="Rovná spojnica 72" stroked="t" o:allowincell="f" style="position:absolute" wp14:anchorId="608CF8EB">
                <v:stroke color="black" weight="9360" joinstyle="round" endcap="flat"/>
                <v:fill o:detectmouseclick="t" on="false"/>
                <w10:wrap type="none"/>
              </v:line>
            </w:pict>
          </mc:Fallback>
        </mc:AlternateContent>
        <mc:AlternateContent>
          <mc:Choice Requires="wps">
            <w:drawing>
              <wp:anchor behindDoc="0" distT="12065" distB="6985" distL="13970" distR="5080" simplePos="0" locked="0" layoutInCell="0" allowOverlap="1" relativeHeight="62" wp14:anchorId="20CAA416">
                <wp:simplePos x="0" y="0"/>
                <wp:positionH relativeFrom="column">
                  <wp:posOffset>3695700</wp:posOffset>
                </wp:positionH>
                <wp:positionV relativeFrom="paragraph">
                  <wp:posOffset>6370320</wp:posOffset>
                </wp:positionV>
                <wp:extent cx="635" cy="457200"/>
                <wp:effectExtent l="5080" t="5080" r="5080" b="5080"/>
                <wp:wrapNone/>
                <wp:docPr id="58" name="Rovná spojnica 68"/>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91pt,501.6pt" to="291pt,537.55pt" ID="Rovná spojnica 68" stroked="t" o:allowincell="f" style="position:absolute" wp14:anchorId="20CAA416">
                <v:stroke color="black" weight="9360" joinstyle="round" endcap="flat"/>
                <v:fill o:detectmouseclick="t" on="false"/>
                <w10:wrap type="none"/>
              </v:line>
            </w:pict>
          </mc:Fallback>
        </mc:AlternateContent>
        <mc:AlternateContent>
          <mc:Choice Requires="wps">
            <w:drawing>
              <wp:anchor behindDoc="0" distT="12065" distB="6985" distL="13970" distR="5080" simplePos="0" locked="0" layoutInCell="0" allowOverlap="1" relativeHeight="63" wp14:anchorId="0C331C1D">
                <wp:simplePos x="0" y="0"/>
                <wp:positionH relativeFrom="column">
                  <wp:posOffset>1409700</wp:posOffset>
                </wp:positionH>
                <wp:positionV relativeFrom="paragraph">
                  <wp:posOffset>7399020</wp:posOffset>
                </wp:positionV>
                <wp:extent cx="635" cy="457200"/>
                <wp:effectExtent l="5080" t="5080" r="5080" b="5080"/>
                <wp:wrapNone/>
                <wp:docPr id="59" name="Rovná spojnica 73"/>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11pt,582.6pt" to="111pt,618.55pt" ID="Rovná spojnica 73" stroked="t" o:allowincell="f" style="position:absolute" wp14:anchorId="0C331C1D">
                <v:stroke color="black" weight="9360" joinstyle="round" endcap="flat"/>
                <v:fill o:detectmouseclick="t" on="false"/>
                <w10:wrap type="none"/>
              </v:line>
            </w:pict>
          </mc:Fallback>
        </mc:AlternateContent>
        <mc:AlternateContent>
          <mc:Choice Requires="wps">
            <w:drawing>
              <wp:anchor behindDoc="0" distT="12065" distB="6985" distL="13970" distR="5080" simplePos="0" locked="0" layoutInCell="0" allowOverlap="1" relativeHeight="64" wp14:anchorId="08F6B1BD">
                <wp:simplePos x="0" y="0"/>
                <wp:positionH relativeFrom="column">
                  <wp:posOffset>3695700</wp:posOffset>
                </wp:positionH>
                <wp:positionV relativeFrom="paragraph">
                  <wp:posOffset>7399020</wp:posOffset>
                </wp:positionV>
                <wp:extent cx="635" cy="457200"/>
                <wp:effectExtent l="5080" t="5080" r="5080" b="5080"/>
                <wp:wrapNone/>
                <wp:docPr id="60" name="Rovná spojnica 69"/>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91pt,582.6pt" to="291pt,618.55pt" ID="Rovná spojnica 69" stroked="t" o:allowincell="f" style="position:absolute" wp14:anchorId="08F6B1BD">
                <v:stroke color="black" weight="9360" joinstyle="round" endcap="flat"/>
                <v:fill o:detectmouseclick="t" on="false"/>
                <w10:wrap type="none"/>
              </v:line>
            </w:pict>
          </mc:Fallback>
        </mc:AlternateContent>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mc:AlternateContent>
          <mc:Choice Requires="wps">
            <w:drawing>
              <wp:anchor behindDoc="0" distT="10160" distB="8890" distL="13970" distR="5080" simplePos="0" locked="0" layoutInCell="0" allowOverlap="1" relativeHeight="13" wp14:anchorId="41A1C963">
                <wp:simplePos x="0" y="0"/>
                <wp:positionH relativeFrom="column">
                  <wp:posOffset>3352800</wp:posOffset>
                </wp:positionH>
                <wp:positionV relativeFrom="paragraph">
                  <wp:posOffset>137160</wp:posOffset>
                </wp:positionV>
                <wp:extent cx="685800" cy="571500"/>
                <wp:effectExtent l="5080" t="5080" r="5080" b="5080"/>
                <wp:wrapNone/>
                <wp:docPr id="61" name="Rovná spojnica 84"/>
                <a:graphic xmlns:a="http://schemas.openxmlformats.org/drawingml/2006/main">
                  <a:graphicData uri="http://schemas.microsoft.com/office/word/2010/wordprocessingShape">
                    <wps:wsp>
                      <wps:cNvSpPr/>
                      <wps:spPr>
                        <a:xfrm flipH="1">
                          <a:off x="0" y="0"/>
                          <a:ext cx="685800" cy="5716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64pt,10.8pt" to="317.95pt,55.75pt" ID="Rovná spojnica 84" stroked="t" o:allowincell="f" style="position:absolute;flip:x" wp14:anchorId="41A1C963">
                <v:stroke color="black" weight="9360" joinstyle="round" endcap="flat"/>
                <v:fill o:detectmouseclick="t" on="false"/>
                <w10:wrap type="none"/>
              </v:line>
            </w:pict>
          </mc:Fallback>
        </mc:AlternateContent>
        <mc:AlternateContent>
          <mc:Choice Requires="wps">
            <w:drawing>
              <wp:anchor behindDoc="0" distT="10160" distB="8890" distL="13970" distR="5080" simplePos="0" locked="0" layoutInCell="0" allowOverlap="1" relativeHeight="14" wp14:anchorId="366CEF14">
                <wp:simplePos x="0" y="0"/>
                <wp:positionH relativeFrom="column">
                  <wp:posOffset>4038600</wp:posOffset>
                </wp:positionH>
                <wp:positionV relativeFrom="paragraph">
                  <wp:posOffset>137160</wp:posOffset>
                </wp:positionV>
                <wp:extent cx="914400" cy="571500"/>
                <wp:effectExtent l="5080" t="5080" r="5080" b="5080"/>
                <wp:wrapNone/>
                <wp:docPr id="62" name="Rovná spojnica 83"/>
                <a:graphic xmlns:a="http://schemas.openxmlformats.org/drawingml/2006/main">
                  <a:graphicData uri="http://schemas.microsoft.com/office/word/2010/wordprocessingShape">
                    <wps:wsp>
                      <wps:cNvSpPr/>
                      <wps:spPr>
                        <a:xfrm>
                          <a:off x="0" y="0"/>
                          <a:ext cx="914400" cy="5716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18pt,10.8pt" to="389.95pt,55.75pt" ID="Rovná spojnica 83" stroked="t" o:allowincell="f" style="position:absolute" wp14:anchorId="366CEF14">
                <v:stroke color="black" weight="9360" joinstyle="round" endcap="flat"/>
                <v:fill o:detectmouseclick="t" on="false"/>
                <w10:wrap type="none"/>
              </v:line>
            </w:pict>
          </mc:Fallback>
        </mc:AlternateContent>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mc:AlternateContent>
          <mc:Choice Requires="wps">
            <w:drawing>
              <wp:anchor behindDoc="0" distT="10160" distB="8890" distL="9525" distR="9525" simplePos="0" locked="0" layoutInCell="0" allowOverlap="1" relativeHeight="41" wp14:anchorId="01C82731">
                <wp:simplePos x="0" y="0"/>
                <wp:positionH relativeFrom="column">
                  <wp:posOffset>281305</wp:posOffset>
                </wp:positionH>
                <wp:positionV relativeFrom="paragraph">
                  <wp:posOffset>7620</wp:posOffset>
                </wp:positionV>
                <wp:extent cx="952500" cy="3657600"/>
                <wp:effectExtent l="5080" t="5080" r="5080" b="5080"/>
                <wp:wrapNone/>
                <wp:docPr id="63" name="Rovná spojnica 85"/>
                <a:graphic xmlns:a="http://schemas.openxmlformats.org/drawingml/2006/main">
                  <a:graphicData uri="http://schemas.microsoft.com/office/word/2010/wordprocessingShape">
                    <wps:wsp>
                      <wps:cNvSpPr/>
                      <wps:spPr>
                        <a:xfrm flipH="1">
                          <a:off x="0" y="0"/>
                          <a:ext cx="952560" cy="36576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2.15pt,0.6pt" to="97.1pt,288.55pt" ID="Rovná spojnica 85" stroked="t" o:allowincell="f" style="position:absolute;flip:x" wp14:anchorId="01C82731">
                <v:stroke color="black" weight="9360" joinstyle="round" endcap="flat"/>
                <v:fill o:detectmouseclick="t" on="false"/>
                <w10:wrap type="none"/>
              </v:line>
            </w:pict>
          </mc:Fallback>
        </mc:AlternateContent>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lang w:eastAsia="cs-CZ"/>
              </w:rPr>
            </w:pPr>
            <w:r>
              <mc:AlternateContent>
                <mc:Choice Requires="wps">
                  <w:drawing>
                    <wp:anchor behindDoc="0" distT="13970" distB="5080" distL="13970" distR="5080" simplePos="0" locked="0" layoutInCell="0" allowOverlap="1" relativeHeight="65" wp14:anchorId="2E85D862">
                      <wp:simplePos x="0" y="0"/>
                      <wp:positionH relativeFrom="column">
                        <wp:posOffset>227965</wp:posOffset>
                      </wp:positionH>
                      <wp:positionV relativeFrom="paragraph">
                        <wp:posOffset>114935</wp:posOffset>
                      </wp:positionV>
                      <wp:extent cx="635" cy="0"/>
                      <wp:effectExtent l="5080" t="5080" r="5080" b="5080"/>
                      <wp:wrapNone/>
                      <wp:docPr id="64" name="Rovná spojnica 2"/>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7.95pt,9.05pt" to="17.95pt,9.05pt" ID="Rovná spojnica 2" stroked="t" o:allowincell="f" style="position:absolute" wp14:anchorId="2E85D862">
                      <v:stroke color="black" weight="9360" joinstyle="round" endcap="flat"/>
                      <v:fill o:detectmouseclick="t" on="false"/>
                      <w10:wrap type="none"/>
                    </v:line>
                  </w:pict>
                </mc:Fallback>
              </mc:AlternateContent>
            </w:r>
            <w:r>
              <w:rPr>
                <w:rFonts w:eastAsia="Times New Roman" w:cs="Times New Roman" w:ascii="Times New Roman" w:hAnsi="Times New Roman"/>
                <w:b/>
                <w:kern w:val="0"/>
                <w:sz w:val="24"/>
                <w:szCs w:val="24"/>
                <w:lang w:val="sk-SK" w:eastAsia="cs-CZ" w:bidi="ar-SA"/>
              </w:rPr>
              <w:t>A: Základné údaje a kontakty</w:t>
            </w:r>
          </w:p>
        </w:tc>
      </w:tr>
    </w:tbl>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904"/>
        <w:gridCol w:w="3828"/>
        <w:gridCol w:w="2269"/>
      </w:tblGrid>
      <w:tr>
        <w:trPr/>
        <w:tc>
          <w:tcPr>
            <w:tcW w:w="290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
          </w:p>
        </w:tc>
        <w:tc>
          <w:tcPr>
            <w:tcW w:w="3828"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Meno</w:t>
            </w:r>
          </w:p>
        </w:tc>
        <w:tc>
          <w:tcPr>
            <w:tcW w:w="2269"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Telefón</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Riaditeľka</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Milena Kravcová</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0903614524</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ZRŠ pre 1.stupeň</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PaedDr. Daniela Remetová</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0911368588</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ZRŠ pre 2.stupeň</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Michal Skreptáč</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0911368588</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ZRŠ pre MŠ</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Anna Chovancová</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0911544004</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Ekonómka školy</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Anna Hudáková</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0911368588</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Výchovný poradca</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Peter Vasilega</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0911368588</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Vedúca ŠJ</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Mária Liptáková</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0911530166</w:t>
            </w:r>
          </w:p>
        </w:tc>
      </w:tr>
    </w:tbl>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lang w:eastAsia="cs-CZ"/>
              </w:rPr>
            </w:pPr>
            <w:r>
              <w:rPr>
                <w:rFonts w:eastAsia="Times New Roman" w:cs="Times New Roman" w:ascii="Times New Roman" w:hAnsi="Times New Roman"/>
                <w:b/>
                <w:kern w:val="0"/>
                <w:sz w:val="24"/>
                <w:szCs w:val="24"/>
                <w:lang w:val="sk-SK" w:eastAsia="cs-CZ" w:bidi="ar-SA"/>
              </w:rPr>
              <w:t>B: Údaje o rade školy a poradných orgánoch školy</w:t>
            </w:r>
          </w:p>
        </w:tc>
      </w:tr>
    </w:tbl>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i/>
          <w:i/>
          <w:sz w:val="24"/>
          <w:szCs w:val="24"/>
          <w:lang w:eastAsia="cs-CZ"/>
        </w:rPr>
      </w:pPr>
      <w:r>
        <w:rPr>
          <w:rFonts w:eastAsia="Times New Roman" w:cs="Times New Roman" w:ascii="Times New Roman" w:hAnsi="Times New Roman"/>
          <w:b/>
          <w:i/>
          <w:sz w:val="24"/>
          <w:szCs w:val="24"/>
          <w:lang w:eastAsia="cs-CZ"/>
        </w:rPr>
        <w:t>Údaje o rade školy:</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Rada školy pri ZŠ s MŠ Pod Vinbargom 1, Bardejov bola ustanovená v zmysle § 24 a 25 zákona č. 596/2003 Z. z. o štátnej správe v školstve a školskej samospráve a o zmene a doplnení niektorých zákonov v znení neskorších predpisov, po voľbách 13.09.2016. Funkčné obdobie začalo dňom 03.10.2016 na obdobie 4 rokov. Ďalšie obdobie od 2020 do 2024.</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5858"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3917"/>
        <w:gridCol w:w="1940"/>
      </w:tblGrid>
      <w:tr>
        <w:trPr>
          <w:trHeight w:val="300" w:hRule="atLeast"/>
        </w:trPr>
        <w:tc>
          <w:tcPr>
            <w:tcW w:w="3917" w:type="dxa"/>
            <w:tcBorders/>
            <w:shd w:color="auto" w:fill="auto" w:val="clear"/>
            <w:vAlign w:val="bottom"/>
          </w:tcPr>
          <w:tbl>
            <w:tblPr>
              <w:tblStyle w:val="Mriekatabuky"/>
              <w:tblW w:w="376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72"/>
              <w:gridCol w:w="1295"/>
            </w:tblGrid>
            <w:tr>
              <w:trPr/>
              <w:tc>
                <w:tcPr>
                  <w:tcW w:w="2472" w:type="dxa"/>
                  <w:tcBorders/>
                </w:tcPr>
                <w:p>
                  <w:pPr>
                    <w:pStyle w:val="Normal"/>
                    <w:widowControl/>
                    <w:spacing w:lineRule="auto" w:line="240" w:before="0" w:after="0"/>
                    <w:jc w:val="left"/>
                    <w:rPr>
                      <w:b/>
                      <w:b/>
                      <w:bCs/>
                      <w:color w:val="000000"/>
                      <w:sz w:val="24"/>
                      <w:szCs w:val="24"/>
                    </w:rPr>
                  </w:pPr>
                  <w:r>
                    <w:rPr>
                      <w:rFonts w:eastAsia="Times New Roman" w:cs="Times New Roman" w:ascii="Times New Roman" w:hAnsi="Times New Roman"/>
                      <w:b/>
                      <w:bCs/>
                      <w:color w:val="000000"/>
                      <w:kern w:val="0"/>
                      <w:sz w:val="24"/>
                      <w:szCs w:val="24"/>
                      <w:lang w:val="sk-SK" w:eastAsia="sk-SK" w:bidi="ar-SA"/>
                    </w:rPr>
                    <w:t>Dátum ustanovenia:</w:t>
                  </w:r>
                </w:p>
              </w:tc>
              <w:tc>
                <w:tcPr>
                  <w:tcW w:w="1295" w:type="dxa"/>
                  <w:tcBorders/>
                </w:tcPr>
                <w:p>
                  <w:pPr>
                    <w:pStyle w:val="Normal"/>
                    <w:widowControl/>
                    <w:spacing w:lineRule="auto" w:line="240" w:before="0" w:after="0"/>
                    <w:jc w:val="left"/>
                    <w:rPr>
                      <w:b/>
                      <w:b/>
                      <w:bCs/>
                      <w:color w:val="FF0000"/>
                      <w:sz w:val="24"/>
                      <w:szCs w:val="24"/>
                    </w:rPr>
                  </w:pPr>
                  <w:r>
                    <w:rPr>
                      <w:rFonts w:eastAsia="Times New Roman" w:cs="Times New Roman" w:ascii="Times New Roman" w:hAnsi="Times New Roman"/>
                      <w:b/>
                      <w:bCs/>
                      <w:kern w:val="0"/>
                      <w:sz w:val="24"/>
                      <w:szCs w:val="24"/>
                      <w:lang w:val="sk-SK" w:eastAsia="sk-SK" w:bidi="ar-SA"/>
                    </w:rPr>
                    <w:t>10.06.2021</w:t>
                  </w:r>
                </w:p>
              </w:tc>
            </w:tr>
            <w:tr>
              <w:trPr/>
              <w:tc>
                <w:tcPr>
                  <w:tcW w:w="2472" w:type="dxa"/>
                  <w:tcBorders/>
                </w:tcPr>
                <w:p>
                  <w:pPr>
                    <w:pStyle w:val="Normal"/>
                    <w:widowControl/>
                    <w:spacing w:lineRule="auto" w:line="240" w:before="0" w:after="0"/>
                    <w:jc w:val="left"/>
                    <w:rPr>
                      <w:b/>
                      <w:b/>
                      <w:bCs/>
                      <w:color w:val="000000"/>
                      <w:sz w:val="24"/>
                      <w:szCs w:val="24"/>
                    </w:rPr>
                  </w:pPr>
                  <w:r>
                    <w:rPr>
                      <w:rFonts w:eastAsia="Times New Roman" w:cs="Times New Roman" w:ascii="Times New Roman" w:hAnsi="Times New Roman"/>
                      <w:b/>
                      <w:bCs/>
                      <w:color w:val="000000"/>
                      <w:kern w:val="0"/>
                      <w:sz w:val="24"/>
                      <w:szCs w:val="24"/>
                      <w:lang w:val="sk-SK" w:eastAsia="sk-SK" w:bidi="ar-SA"/>
                    </w:rPr>
                    <w:t>Počet členov ŠR:</w:t>
                  </w:r>
                </w:p>
              </w:tc>
              <w:tc>
                <w:tcPr>
                  <w:tcW w:w="1295" w:type="dxa"/>
                  <w:tcBorders/>
                </w:tcPr>
                <w:p>
                  <w:pPr>
                    <w:pStyle w:val="Normal"/>
                    <w:widowControl/>
                    <w:spacing w:lineRule="auto" w:line="240" w:before="0" w:after="0"/>
                    <w:jc w:val="left"/>
                    <w:rPr>
                      <w:b/>
                      <w:b/>
                      <w:bCs/>
                      <w:color w:val="FF0000"/>
                      <w:sz w:val="24"/>
                      <w:szCs w:val="24"/>
                    </w:rPr>
                  </w:pPr>
                  <w:r>
                    <w:rPr>
                      <w:rFonts w:eastAsia="Times New Roman" w:cs="Times New Roman" w:ascii="Times New Roman" w:hAnsi="Times New Roman"/>
                      <w:b/>
                      <w:bCs/>
                      <w:kern w:val="0"/>
                      <w:sz w:val="24"/>
                      <w:szCs w:val="24"/>
                      <w:lang w:val="sk-SK" w:eastAsia="sk-SK" w:bidi="ar-SA"/>
                    </w:rPr>
                    <w:t>11</w:t>
                  </w:r>
                </w:p>
              </w:tc>
            </w:tr>
          </w:tbl>
          <w:p>
            <w:pPr>
              <w:pStyle w:val="Normal"/>
              <w:widowControl w:val="false"/>
              <w:spacing w:lineRule="auto" w:line="240" w:before="0" w:after="0"/>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p>
          <w:p>
            <w:pPr>
              <w:pStyle w:val="Normal"/>
              <w:widowControl w:val="false"/>
              <w:spacing w:lineRule="auto" w:line="240" w:before="0" w:after="0"/>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p>
        </w:tc>
        <w:tc>
          <w:tcPr>
            <w:tcW w:w="1940" w:type="dxa"/>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r>
    </w:tbl>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tcPr>
          <w:p>
            <w:pPr>
              <w:pStyle w:val="Normal"/>
              <w:widowControl/>
              <w:spacing w:lineRule="auto" w:line="240" w:before="0" w:after="0"/>
              <w:jc w:val="left"/>
              <w:rPr>
                <w:b/>
                <w:b/>
                <w:sz w:val="24"/>
                <w:szCs w:val="24"/>
                <w:lang w:eastAsia="cs-CZ"/>
              </w:rPr>
            </w:pPr>
            <w:r>
              <w:rPr>
                <w:rFonts w:eastAsia="Times New Roman" w:cs="Times New Roman" w:ascii="Times New Roman" w:hAnsi="Times New Roman"/>
                <w:b/>
                <w:kern w:val="0"/>
                <w:sz w:val="24"/>
                <w:szCs w:val="24"/>
                <w:lang w:val="sk-SK" w:eastAsia="cs-CZ" w:bidi="ar-SA"/>
              </w:rPr>
              <w:t>Predseda ŠR:</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1</w:t>
            </w:r>
          </w:p>
        </w:tc>
      </w:tr>
      <w:tr>
        <w:trPr/>
        <w:tc>
          <w:tcPr>
            <w:tcW w:w="4606" w:type="dxa"/>
            <w:tcBorders/>
          </w:tcPr>
          <w:p>
            <w:pPr>
              <w:pStyle w:val="Normal"/>
              <w:widowControl/>
              <w:spacing w:lineRule="auto" w:line="240" w:before="0" w:after="0"/>
              <w:jc w:val="left"/>
              <w:rPr>
                <w:b/>
                <w:b/>
                <w:sz w:val="24"/>
                <w:szCs w:val="24"/>
                <w:lang w:eastAsia="cs-CZ"/>
              </w:rPr>
            </w:pPr>
            <w:r>
              <w:rPr>
                <w:rFonts w:eastAsia="Times New Roman" w:cs="Times New Roman" w:ascii="Times New Roman" w:hAnsi="Times New Roman"/>
                <w:b/>
                <w:kern w:val="0"/>
                <w:sz w:val="24"/>
                <w:szCs w:val="24"/>
                <w:lang w:val="sk-SK" w:eastAsia="cs-CZ" w:bidi="ar-SA"/>
              </w:rPr>
              <w:t>Pedagogickí  zamestnanci:</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2 (1 za ZŠ a 1 za MŠ)</w:t>
            </w:r>
          </w:p>
        </w:tc>
      </w:tr>
      <w:tr>
        <w:trPr/>
        <w:tc>
          <w:tcPr>
            <w:tcW w:w="4606" w:type="dxa"/>
            <w:tcBorders/>
          </w:tcPr>
          <w:p>
            <w:pPr>
              <w:pStyle w:val="Normal"/>
              <w:widowControl/>
              <w:spacing w:lineRule="auto" w:line="240" w:before="0" w:after="0"/>
              <w:jc w:val="left"/>
              <w:rPr>
                <w:b/>
                <w:b/>
                <w:sz w:val="24"/>
                <w:szCs w:val="24"/>
                <w:lang w:eastAsia="cs-CZ"/>
              </w:rPr>
            </w:pPr>
            <w:r>
              <w:rPr>
                <w:rFonts w:eastAsia="Times New Roman" w:cs="Times New Roman" w:ascii="Times New Roman" w:hAnsi="Times New Roman"/>
                <w:b/>
                <w:kern w:val="0"/>
                <w:sz w:val="24"/>
                <w:szCs w:val="24"/>
                <w:lang w:val="sk-SK" w:eastAsia="cs-CZ" w:bidi="ar-SA"/>
              </w:rPr>
              <w:t>Nepedagogickí zamestnanci:</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1</w:t>
            </w:r>
          </w:p>
        </w:tc>
      </w:tr>
      <w:tr>
        <w:trPr/>
        <w:tc>
          <w:tcPr>
            <w:tcW w:w="4606" w:type="dxa"/>
            <w:tcBorders/>
          </w:tcPr>
          <w:p>
            <w:pPr>
              <w:pStyle w:val="Normal"/>
              <w:widowControl/>
              <w:spacing w:lineRule="auto" w:line="240" w:before="0" w:after="0"/>
              <w:jc w:val="left"/>
              <w:rPr>
                <w:b/>
                <w:b/>
                <w:sz w:val="24"/>
                <w:szCs w:val="24"/>
                <w:lang w:eastAsia="cs-CZ"/>
              </w:rPr>
            </w:pPr>
            <w:r>
              <w:rPr>
                <w:rFonts w:eastAsia="Times New Roman" w:cs="Times New Roman" w:ascii="Times New Roman" w:hAnsi="Times New Roman"/>
                <w:b/>
                <w:kern w:val="0"/>
                <w:sz w:val="24"/>
                <w:szCs w:val="24"/>
                <w:lang w:val="sk-SK" w:eastAsia="cs-CZ" w:bidi="ar-SA"/>
              </w:rPr>
              <w:t>Rodičia:</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4 (3 za ZŠ a 1 za MŠ)</w:t>
            </w:r>
          </w:p>
        </w:tc>
      </w:tr>
      <w:tr>
        <w:trPr/>
        <w:tc>
          <w:tcPr>
            <w:tcW w:w="4606" w:type="dxa"/>
            <w:tcBorders/>
          </w:tcPr>
          <w:p>
            <w:pPr>
              <w:pStyle w:val="Normal"/>
              <w:widowControl/>
              <w:spacing w:lineRule="auto" w:line="240" w:before="0" w:after="0"/>
              <w:jc w:val="left"/>
              <w:rPr>
                <w:b/>
                <w:b/>
                <w:sz w:val="24"/>
                <w:szCs w:val="24"/>
                <w:lang w:eastAsia="cs-CZ"/>
              </w:rPr>
            </w:pPr>
            <w:r>
              <w:rPr>
                <w:rFonts w:eastAsia="Times New Roman" w:cs="Times New Roman" w:ascii="Times New Roman" w:hAnsi="Times New Roman"/>
                <w:b/>
                <w:kern w:val="0"/>
                <w:sz w:val="24"/>
                <w:szCs w:val="24"/>
                <w:lang w:val="sk-SK" w:eastAsia="cs-CZ" w:bidi="ar-SA"/>
              </w:rPr>
              <w:t>Delegovaní zástupcovia MZ Bardejov:</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4</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b/>
          <w:b/>
          <w:i/>
          <w:i/>
          <w:sz w:val="24"/>
          <w:szCs w:val="24"/>
          <w:lang w:eastAsia="cs-CZ"/>
        </w:rPr>
      </w:pPr>
      <w:r>
        <w:rPr>
          <w:rFonts w:eastAsia="Times New Roman" w:cs="Times New Roman" w:ascii="Times New Roman" w:hAnsi="Times New Roman"/>
          <w:b/>
          <w:i/>
          <w:sz w:val="24"/>
          <w:szCs w:val="24"/>
          <w:lang w:eastAsia="cs-CZ"/>
        </w:rPr>
        <w:t>Stručná informácia o činnosti rady školy za školský rok 2022/2023:</w:t>
      </w:r>
    </w:p>
    <w:p>
      <w:pPr>
        <w:pStyle w:val="Normal"/>
        <w:spacing w:lineRule="auto" w:line="240" w:before="0" w:after="0"/>
        <w:rPr>
          <w:rFonts w:ascii="Times New Roman" w:hAnsi="Times New Roman" w:eastAsia="Times New Roman" w:cs="Times New Roman"/>
          <w:b/>
          <w:b/>
          <w:i/>
          <w:i/>
          <w:color w:val="FF0000"/>
          <w:sz w:val="24"/>
          <w:szCs w:val="24"/>
          <w:lang w:eastAsia="cs-CZ"/>
        </w:rPr>
      </w:pPr>
      <w:r>
        <w:rPr>
          <w:rFonts w:eastAsia="Times New Roman" w:cs="Times New Roman" w:ascii="Times New Roman" w:hAnsi="Times New Roman"/>
          <w:b/>
          <w:i/>
          <w:color w:val="FF0000"/>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Rada školy sa v š. roku 2022/2023 stretla 3-krát.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Členovia boli oboznámení s/so: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Členovia Rady školy boli oboznámení so vzdelávacím programom, školským poriadkom, s pedagogickým procesom, projektami a činnosťou školy. </w:t>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Členovia rady školy zobrali na vedomie: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Informáciu o pláne práce školy v šk. roku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Informáciu o celoročných zasadnutiach v šk. roku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Informáciu o školskom vzdelávacom programe v šk. roku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Informáciu o školskom poriadku v šk. roku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5. Informáciu o pedagogicko-organizačnom zabezpečení MŠ v šk. roku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 Informáciu o pedagogicko-organizačnom zabezpečení ZŠ v šk. roku 2022/2023;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7. Informáciu personálnych zmenách v pedagogickom zbore v šk. roku 2022/2023;</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8. Informáciu o VZN na čiastočnú úhradu poplatkov za MŠ, ŠKD a stravné, v máji bez úhrady zo strany rodičov;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9. Informáciu o hodnotiacej správe za šk. rok 2021/2022;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10. Vzala na vedomie využitie finančných zdrojov na škole v roku 2022;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11. Vzala na vedomie správu o hospodárení školy za rok 2022;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12. Vzala na vedomie informáciu o počte zapísaných detí na školský rok 2022/23;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13. Vzala na vedomie rozpočet na rok 2023 schválený MZ;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14. Informácie o napĺňaní vízií v šk. roku 2022/23;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15. Informácie o aktivitách a prebiehajúcich projektoch školy &amp;(ERasmus+) v nasledujúcom šk. roku.</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Členovia boli oboznámení so: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Záujmovou a krúžkovou činnosťou;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S projektmi organizovanými na škole;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S projektmi, do ktorých sa škola zapojila;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S revitalizovanými priestormi na škole;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S využívaním finančných prostriedkov v roku 2022 a priebežné čerpanie finančných prostriedkov v prvom polroku roku 2023; </w:t>
      </w:r>
    </w:p>
    <w:p>
      <w:pPr>
        <w:pStyle w:val="Normal"/>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So získavaním mimorozpočtových zdrojov a ich využití v prospech školy;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Rada školy prijala a schválila nasledovné predkladané návrhy : </w:t>
      </w:r>
    </w:p>
    <w:p>
      <w:pPr>
        <w:pStyle w:val="Normal"/>
        <w:spacing w:lineRule="auto" w:line="240" w:before="0" w:after="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Návrh na zvýšenie počtu žiakov v triedach a pri delení na skupiny; </w:t>
      </w:r>
    </w:p>
    <w:p>
      <w:pPr>
        <w:pStyle w:val="Normal"/>
        <w:spacing w:lineRule="auto" w:line="240" w:before="0" w:after="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Správu o výsledkoch a podmienkach výchovno-vzdelávacej činnosti Základnej škole s materskou školou Pod Vinbargom 1 Rada školy – riešila; </w:t>
      </w:r>
    </w:p>
    <w:p>
      <w:pPr>
        <w:pStyle w:val="Normal"/>
        <w:spacing w:lineRule="auto" w:line="240" w:before="0" w:after="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Návrh na zvýšenie počtu žiakov v triedach ZŠ; </w:t>
      </w:r>
    </w:p>
    <w:p>
      <w:pPr>
        <w:pStyle w:val="Normal"/>
        <w:spacing w:lineRule="auto" w:line="240" w:before="0" w:after="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Otvorenie 4 tried v prvom ročníku v školskom roku 2022/2023; </w:t>
      </w:r>
    </w:p>
    <w:p>
      <w:pPr>
        <w:pStyle w:val="Normal"/>
        <w:spacing w:lineRule="auto" w:line="24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Aktuálne problémy ZŠ a MŠ členovia Rady školy prijali a schválili.</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Rada školy</w:t>
      </w:r>
    </w:p>
    <w:p>
      <w:pPr>
        <w:pStyle w:val="Normal"/>
        <w:spacing w:lineRule="auto" w:line="240" w:before="0" w:after="0"/>
        <w:rPr>
          <w:rFonts w:ascii="Times New Roman" w:hAnsi="Times New Roman" w:eastAsia="Times New Roman" w:cs="Times New Roman"/>
          <w:sz w:val="24"/>
          <w:szCs w:val="24"/>
          <w:lang w:eastAsia="cs-CZ"/>
        </w:rPr>
      </w:pPr>
      <w:r>
        <w:rPr>
          <w:rFonts w:cs="Times New Roman" w:ascii="Times New Roman" w:hAnsi="Times New Roman"/>
          <w:sz w:val="24"/>
          <w:szCs w:val="24"/>
        </w:rPr>
        <w:t>Začiatok - ukončenie funkčného obdobia rady školy: 2020-2024.</w:t>
      </w:r>
    </w:p>
    <w:p>
      <w:pPr>
        <w:pStyle w:val="Normal"/>
        <w:spacing w:lineRule="auto" w:line="240" w:before="0" w:after="0"/>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tbl>
      <w:tblPr>
        <w:tblW w:w="925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409"/>
        <w:gridCol w:w="3240"/>
        <w:gridCol w:w="3601"/>
      </w:tblGrid>
      <w:tr>
        <w:trPr/>
        <w:tc>
          <w:tcPr>
            <w:tcW w:w="2409"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Členovia ŠR</w:t>
            </w:r>
          </w:p>
        </w:tc>
        <w:tc>
          <w:tcPr>
            <w:tcW w:w="324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Meno a priezvisko</w:t>
            </w:r>
          </w:p>
        </w:tc>
        <w:tc>
          <w:tcPr>
            <w:tcW w:w="3601"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Predsedníčka</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Mária Nogová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cs-CZ"/>
              </w:rPr>
            </w:pPr>
            <w:r>
              <w:rPr>
                <w:rFonts w:eastAsia="Times New Roman" w:cs="Times New Roman" w:ascii="Times New Roman" w:hAnsi="Times New Roman"/>
                <w:lang w:eastAsia="cs-CZ"/>
              </w:rPr>
              <w:t>za pedagogických zamestnancov školy</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Tajomníčka</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Bc. Dana Bodáková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 pedagogických  MŠ</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Členka</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Mária Liptáková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za nepedagogických zamestnancov školy</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Ján Pilko PhD</w:t>
            </w:r>
            <w:r>
              <w:rPr>
                <w:rFonts w:eastAsia="Times New Roman" w:cs="Times New Roman" w:ascii="Times New Roman" w:hAnsi="Times New Roman"/>
                <w:color w:val="FF0000"/>
                <w:sz w:val="24"/>
                <w:szCs w:val="24"/>
                <w:lang w:eastAsia="cs-CZ"/>
              </w:rPr>
              <w:t>.</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 rodičov ZŠ</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Monika Jurečková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 rodičov ZŠ</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Členka</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Bc. Júlia Jurčšinová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 rodičov ZŠ</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Členka</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Nataša Milistenferová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poslankyňa MsZ</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Vladislav Novák</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poslanec MsZ</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Daniela Dvorská</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delegovaná MsÚ</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Maroš Micenko</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delegovaný MsÚ</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Člen</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Pavol Goriščák</w:t>
            </w:r>
          </w:p>
        </w:tc>
        <w:tc>
          <w:tcPr>
            <w:tcW w:w="3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 rodičov MŠ</w:t>
            </w:r>
          </w:p>
        </w:tc>
      </w:tr>
    </w:tbl>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t>Koordinátori činností a iné kariérové pozície</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71"/>
        <w:gridCol w:w="4916"/>
      </w:tblGrid>
      <w:tr>
        <w:trPr/>
        <w:tc>
          <w:tcPr>
            <w:tcW w:w="4371"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Kariérová pozícia</w:t>
            </w:r>
          </w:p>
        </w:tc>
        <w:tc>
          <w:tcPr>
            <w:tcW w:w="4916"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Meno a priezvisko</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Výchovný poradca</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Peter Vasilega</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Školský digitálny koordinátor</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Dušan Kuča</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Správca počítačovej siete</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Dušan Kuča</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Koordinátor protidrogovej prevencie</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Andrea Chovanová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Koordinátor environmentálnej výchovy</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Zuzana Šestáková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Koordinátor finančnej gramotnosti</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Katarína Golecová, Mgr. Petra Csuková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Koordinátor ŠPZ a žiacky parlament</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Andrea Chovanová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Koordinátor pre žiakov v zahraničí</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Peter Vasilega, Mgr.Mária Volčková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Školský špeciálny pedagóg</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Katarína Novák, BA</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Súkromné centrum špeciálno-pedagogického poradenstva</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PhDr. Katarína Stašáková</w:t>
            </w:r>
          </w:p>
        </w:tc>
      </w:tr>
      <w:tr>
        <w:trPr/>
        <w:tc>
          <w:tcPr>
            <w:tcW w:w="4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Tím pre rozvoj a propagáciu školy</w:t>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Mgr.Zašiurová, Mgr.Bobalíková, Mgr.Chovanová, Mgr. Katarína Vagaská</w:t>
            </w:r>
          </w:p>
        </w:tc>
      </w:tr>
    </w:tbl>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keepNext w:val="true"/>
        <w:numPr>
          <w:ilvl w:val="0"/>
          <w:numId w:val="0"/>
        </w:numPr>
        <w:spacing w:lineRule="auto" w:line="240" w:before="0" w:after="0"/>
        <w:outlineLvl w:val="2"/>
        <w:rPr>
          <w:rFonts w:ascii="Times New Roman" w:hAnsi="Times New Roman" w:eastAsia="Times New Roman" w:cs="Times New Roman"/>
          <w:bCs/>
          <w:i/>
          <w:i/>
          <w:sz w:val="24"/>
          <w:szCs w:val="24"/>
          <w:lang w:eastAsia="cs-CZ"/>
        </w:rPr>
      </w:pPr>
      <w:r>
        <w:rPr>
          <w:rFonts w:eastAsia="Arial Unicode MS" w:cs="Times New Roman" w:ascii="Times New Roman" w:hAnsi="Times New Roman"/>
          <w:bCs/>
          <w:i/>
          <w:sz w:val="24"/>
          <w:szCs w:val="24"/>
          <w:lang w:eastAsia="cs-CZ"/>
        </w:rPr>
        <w:t>Poverení organizovaním práce  predmetov</w:t>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030"/>
        <w:gridCol w:w="5179"/>
      </w:tblGrid>
      <w:tr>
        <w:trPr/>
        <w:tc>
          <w:tcPr>
            <w:tcW w:w="403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Názov</w:t>
            </w:r>
          </w:p>
        </w:tc>
        <w:tc>
          <w:tcPr>
            <w:tcW w:w="5179"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Meno a priezvisko a zastúpenie predmetov</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1. stupeň</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Mária Volčková,  1.-2. ročník</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1. stupeň</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Renáta Kicová,  3.- 4. ročník</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Slovenský jazyk</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Mgr.Valéria Semanišínová, SJL</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Matematika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Iveta Čopáková,  MAT</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Cudzie jazyky</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Ján Šoltés  ANJ, NEJ, RUJ</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Dejepis a OBN</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Petra Csuková,  DEJ, OBN</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Geografia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Mgr.Valéria Biľová,  GEO</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Fyzika, Chémia a Biológia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PaedDr. Juraj Senaj,  FYZ, CHE, BIO</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Etická a náboženská výchova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Klaudia Brezaniová,  ETV, NBV</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Telesná výchova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Jozef Krochta,  TEV</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Výchovných predmetov</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Alena Malegová,  VYV, HUV</w:t>
            </w:r>
          </w:p>
        </w:tc>
      </w:tr>
      <w:tr>
        <w:trPr/>
        <w:tc>
          <w:tcPr>
            <w:tcW w:w="4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Technicka</w:t>
            </w:r>
          </w:p>
        </w:tc>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Andrea Chovanová, Tch</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Poradné orgány: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&gt; Pedagogická rada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poradný orgán RŠ na odborno – pedagogické riadenie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pomáha pri rozhodovaní v pedagogickej oblasti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pripravuje návrhy na zvyšovanie efektívnosti fungovania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podieľa sa na príprave ŠkVP, VP,plánu práce školy, vnútorného poriadku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prerokuváva rozhodnutia RŠ v pedagogických záležitostiach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zasadá jedenkrát mesačne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&gt; Gremiálna rada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tvorila podklady na rokovania pedagogickej rady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riešila operatívne úlohy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navrhovala a koordinovala jednotlivé činnosti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riešila technické otázky zabezpečujúce riadny chod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kontrolovala plnenie plánu práce a koncepcie rozvoja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zasadala jedenkrát mesačne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&gt; Metodické orgány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zodpovedali za metodickú a odbornú úroveň predmetov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spolupracovali s vedením školy v oblasti hospitačnej a kontrolnej činnosti</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dbali o zvyšovanie úrovne vyučovania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podieľali sa na príprave ŠkVP a dávali návrhy do Plánu práce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navrhovali opatrenia na zlepšovanie efektivity práce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&gt; Rada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poradný samosprávny orgán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vyjadroval sa ku koncepčnému zámeru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posudzoval koncepčný zámer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vyjadroval sa k organizácii šk. roka, k Plánu práce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vyjadroval sa k Správe o výchovno-vzdelávacích výsledkoch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zasadali dvakrát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&gt;Rada rodičov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volený orgán, ktorý zastupuje všetkých rodičov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spolupracuje s vedením školy pri zlepšovaní MTZ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sprostredkovala názory a podnety rodičov vedeniu školy </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pomáhala pri organizovaní mnohých aktivít </w:t>
      </w:r>
    </w:p>
    <w:p>
      <w:pPr>
        <w:pStyle w:val="Normal"/>
        <w:spacing w:lineRule="auto" w:line="240" w:before="0" w:after="0"/>
        <w:ind w:left="708" w:firstLine="708"/>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ind w:left="708" w:firstLine="708"/>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lang w:eastAsia="cs-CZ"/>
              </w:rPr>
            </w:pPr>
            <w:r>
              <w:rPr>
                <w:rFonts w:eastAsia="Times New Roman" w:cs="Times New Roman" w:ascii="Times New Roman" w:hAnsi="Times New Roman"/>
                <w:b/>
                <w:kern w:val="0"/>
                <w:sz w:val="24"/>
                <w:szCs w:val="24"/>
                <w:lang w:val="sk-SK" w:eastAsia="cs-CZ" w:bidi="ar-SA"/>
              </w:rPr>
              <w:t xml:space="preserve">C: </w:t>
            </w:r>
            <w:r>
              <w:rPr>
                <w:rFonts w:eastAsia="Times New Roman" w:cs="Times New Roman" w:ascii="Times New Roman" w:hAnsi="Times New Roman"/>
                <w:b/>
                <w:kern w:val="0"/>
                <w:sz w:val="24"/>
                <w:szCs w:val="24"/>
                <w:lang w:val="sk-SK" w:eastAsia="sk-SK" w:bidi="ar-SA"/>
              </w:rPr>
              <w:t>Štatistické údaje a profilácia školy</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Projektovaná kapacita školy:</w:t>
      </w:r>
      <w:r>
        <w:rPr>
          <w:rFonts w:cs="Times New Roman" w:ascii="Times New Roman" w:hAnsi="Times New Roman"/>
          <w:sz w:val="24"/>
          <w:szCs w:val="24"/>
        </w:rPr>
        <w:t xml:space="preserve"> 22, preprojektovaná na 32 tried,    </w:t>
      </w:r>
      <w:r>
        <w:rPr>
          <w:rFonts w:cs="Times New Roman" w:ascii="Times New Roman" w:hAnsi="Times New Roman"/>
          <w:b/>
          <w:sz w:val="24"/>
          <w:szCs w:val="24"/>
        </w:rPr>
        <w:t>Počet elokovaných tried</w:t>
      </w:r>
      <w:r>
        <w:rPr>
          <w:rFonts w:cs="Times New Roman" w:ascii="Times New Roman" w:hAnsi="Times New Roman"/>
          <w:sz w:val="24"/>
          <w:szCs w:val="24"/>
        </w:rPr>
        <w:t>: 0</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nová budova: 8 tried;</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9072"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701"/>
        <w:gridCol w:w="850"/>
        <w:gridCol w:w="993"/>
        <w:gridCol w:w="992"/>
        <w:gridCol w:w="1134"/>
        <w:gridCol w:w="1134"/>
        <w:gridCol w:w="1134"/>
        <w:gridCol w:w="1133"/>
      </w:tblGrid>
      <w:tr>
        <w:trPr/>
        <w:tc>
          <w:tcPr>
            <w:tcW w:w="1701"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Školský rok</w:t>
            </w:r>
          </w:p>
        </w:tc>
        <w:tc>
          <w:tcPr>
            <w:tcW w:w="85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Počet</w:t>
            </w:r>
          </w:p>
        </w:tc>
        <w:tc>
          <w:tcPr>
            <w:tcW w:w="99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1.-4.roč.</w:t>
            </w:r>
          </w:p>
        </w:tc>
        <w:tc>
          <w:tcPr>
            <w:tcW w:w="992"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5.-9.roč.</w:t>
            </w:r>
          </w:p>
        </w:tc>
        <w:tc>
          <w:tcPr>
            <w:tcW w:w="113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Dievčat</w:t>
            </w:r>
          </w:p>
        </w:tc>
        <w:tc>
          <w:tcPr>
            <w:tcW w:w="113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Počet tried</w:t>
            </w:r>
          </w:p>
        </w:tc>
        <w:tc>
          <w:tcPr>
            <w:tcW w:w="113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1.-4.roč.</w:t>
            </w:r>
          </w:p>
        </w:tc>
        <w:tc>
          <w:tcPr>
            <w:tcW w:w="113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5.-9.roč.</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2005/2006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816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219</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597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364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2006/2007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724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209</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515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320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2007/2008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688</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197</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491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296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22</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2008/2009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642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179</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463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21</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2009/2010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615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451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2010/2011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612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444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2011/2012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599</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345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19</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2012/2013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590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197</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393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253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2013/2014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579</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213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366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2014/2015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585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223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362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153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2015/2016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370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2016/2017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596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237</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359</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255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15</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2017/2018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371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2018/2019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371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2019/2020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613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228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2020/2021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625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229</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396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2021/2022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624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392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282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2022/2023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622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242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16</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Priemerné počty: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Φ počet žiakov na triedu (2022/23):           1.-4. roč. 22                                                                    5.-9.roč. 23,75      1.-9. roč. 23,04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Φ počet žiakov na triedu (2021/22):           1.-4. roč. 23,2                                                                    5.-9.roč. 23,06      1.-9. roč. 23,11 </w:t>
      </w:r>
    </w:p>
    <w:p>
      <w:pPr>
        <w:pStyle w:val="Normal"/>
        <w:spacing w:lineRule="auto" w:line="240" w:before="0" w:after="0"/>
        <w:rPr>
          <w:rFonts w:ascii="Times New Roman" w:hAnsi="Times New Roman" w:eastAsia="Times New Roman" w:cs="Times New Roman"/>
          <w:sz w:val="24"/>
          <w:szCs w:val="24"/>
          <w:lang w:eastAsia="cs-CZ"/>
        </w:rPr>
      </w:pPr>
      <w:r>
        <w:rPr/>
        <w:drawing>
          <wp:inline distT="0" distB="0" distL="0" distR="0">
            <wp:extent cx="4572000" cy="2775585"/>
            <wp:effectExtent l="0" t="0" r="0" b="0"/>
            <wp:docPr id="65"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cs="Times New Roman"/>
          <w:b/>
          <w:b/>
          <w:i/>
          <w:i/>
          <w:color w:val="548DD4" w:themeColor="text2" w:themeTint="99"/>
          <w:sz w:val="24"/>
          <w:szCs w:val="24"/>
        </w:rPr>
      </w:pPr>
      <w:r>
        <w:rPr>
          <w:rFonts w:cs="Times New Roman" w:ascii="Times New Roman" w:hAnsi="Times New Roman"/>
          <w:b/>
          <w:i/>
          <w:color w:val="548DD4" w:themeColor="text2" w:themeTint="99"/>
          <w:sz w:val="24"/>
          <w:szCs w:val="24"/>
        </w:rPr>
        <w:t xml:space="preserve">Počet zapísaných žiakov do 1. ročníka ZŠ </w:t>
      </w:r>
    </w:p>
    <w:p>
      <w:pPr>
        <w:pStyle w:val="Normal"/>
        <w:spacing w:lineRule="auto" w:line="240" w:before="0" w:after="0"/>
        <w:rPr>
          <w:rFonts w:ascii="Times New Roman" w:hAnsi="Times New Roman" w:cs="Times New Roman"/>
          <w:color w:val="548DD4" w:themeColor="text2" w:themeTint="99"/>
          <w:sz w:val="24"/>
          <w:szCs w:val="24"/>
        </w:rPr>
      </w:pPr>
      <w:r>
        <w:rPr>
          <w:rFonts w:cs="Times New Roman" w:ascii="Times New Roman" w:hAnsi="Times New Roman"/>
          <w:color w:val="548DD4" w:themeColor="text2" w:themeTint="99"/>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Skutočný počet žiakov 1. ročníka k 15.09.2022: 68</w:t>
      </w:r>
    </w:p>
    <w:p>
      <w:pPr>
        <w:pStyle w:val="Normal"/>
        <w:spacing w:lineRule="auto" w:line="240" w:before="0" w:after="0"/>
        <w:rPr>
          <w:rFonts w:ascii="Times New Roman" w:hAnsi="Times New Roman" w:cs="Times New Roman"/>
          <w:color w:val="FF0000"/>
          <w:sz w:val="24"/>
          <w:szCs w:val="24"/>
        </w:rPr>
      </w:pPr>
      <w:r>
        <w:rPr>
          <w:rFonts w:cs="Times New Roman" w:ascii="Times New Roman" w:hAnsi="Times New Roman"/>
          <w:sz w:val="24"/>
          <w:szCs w:val="24"/>
        </w:rPr>
        <w:t>Dodatočné odklady po nástupe do 1. ročníka: 4</w:t>
      </w:r>
      <w:r>
        <w:rPr>
          <w:rFonts w:cs="Times New Roman" w:ascii="Times New Roman" w:hAnsi="Times New Roman"/>
          <w:color w:val="FF0000"/>
          <w:sz w:val="24"/>
          <w:szCs w:val="24"/>
        </w:rPr>
        <w:t xml:space="preserve"> </w:t>
      </w:r>
    </w:p>
    <w:p>
      <w:pPr>
        <w:pStyle w:val="Normal"/>
        <w:spacing w:lineRule="auto" w:line="240" w:before="0" w:after="0"/>
        <w:rPr>
          <w:rFonts w:ascii="Times New Roman" w:hAnsi="Times New Roman" w:eastAsia="Times New Roman" w:cs="Times New Roman"/>
          <w:color w:val="FF0000"/>
          <w:sz w:val="24"/>
          <w:szCs w:val="24"/>
          <w:lang w:eastAsia="cs-CZ"/>
        </w:rPr>
      </w:pPr>
      <w:r>
        <w:rPr>
          <w:rFonts w:cs="Times New Roman" w:ascii="Times New Roman" w:hAnsi="Times New Roman"/>
          <w:sz w:val="24"/>
          <w:szCs w:val="24"/>
        </w:rPr>
        <w:t>Počet zapísaných prvákov k 30.06.2022 pre školský rok 2022/2023: 64</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sz w:val="24"/>
                <w:szCs w:val="24"/>
                <w:lang w:eastAsia="cs-CZ"/>
              </w:rPr>
            </w:pPr>
            <w:r>
              <w:rPr>
                <w:rFonts w:eastAsia="Times New Roman" w:cs="Times New Roman" w:ascii="Times New Roman" w:hAnsi="Times New Roman"/>
                <w:b/>
                <w:kern w:val="0"/>
                <w:sz w:val="24"/>
                <w:szCs w:val="24"/>
                <w:lang w:val="sk-SK" w:eastAsia="sk-SK" w:bidi="ar-SA"/>
              </w:rPr>
              <w:t>Údaje o počtoch a úspešnosti žiakov na prijímacích skúškach a ich následnom prijatí na stredné školy</w:t>
            </w:r>
          </w:p>
        </w:tc>
      </w:tr>
    </w:tbl>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b/>
          <w:b/>
          <w:bCs/>
          <w:i/>
          <w:i/>
          <w:color w:val="548DD4" w:themeColor="text2" w:themeTint="99"/>
          <w:sz w:val="24"/>
          <w:szCs w:val="24"/>
          <w:lang w:eastAsia="cs-CZ"/>
        </w:rPr>
      </w:pPr>
      <w:r>
        <w:rPr>
          <w:rFonts w:eastAsia="Times New Roman" w:cs="Times New Roman" w:ascii="Times New Roman" w:hAnsi="Times New Roman"/>
          <w:b/>
          <w:bCs/>
          <w:i/>
          <w:color w:val="548DD4" w:themeColor="text2" w:themeTint="99"/>
          <w:sz w:val="24"/>
          <w:szCs w:val="24"/>
          <w:lang w:eastAsia="cs-CZ"/>
        </w:rPr>
        <w:t>Ukončilo školskú dochádzku na ZŠ s MŠ k 30.6.2022:</w:t>
      </w:r>
    </w:p>
    <w:p>
      <w:pPr>
        <w:pStyle w:val="Normal"/>
        <w:spacing w:lineRule="auto" w:line="240" w:before="0" w:after="0"/>
        <w:ind w:left="360" w:hanging="0"/>
        <w:jc w:val="both"/>
        <w:rPr>
          <w:rFonts w:ascii="Times New Roman" w:hAnsi="Times New Roman" w:eastAsia="Times New Roman" w:cs="Times New Roman"/>
          <w:b/>
          <w:b/>
          <w:bCs/>
          <w:i/>
          <w:i/>
          <w:color w:val="FF0000"/>
          <w:sz w:val="24"/>
          <w:szCs w:val="24"/>
          <w:lang w:eastAsia="cs-CZ"/>
        </w:rPr>
      </w:pPr>
      <w:r>
        <w:rPr>
          <w:rFonts w:eastAsia="Times New Roman" w:cs="Times New Roman" w:ascii="Times New Roman" w:hAnsi="Times New Roman"/>
          <w:b/>
          <w:bCs/>
          <w:i/>
          <w:color w:val="FF0000"/>
          <w:sz w:val="24"/>
          <w:szCs w:val="24"/>
          <w:lang w:eastAsia="cs-CZ"/>
        </w:rPr>
      </w:r>
    </w:p>
    <w:tbl>
      <w:tblPr>
        <w:tblpPr w:bottomFromText="0" w:horzAnchor="text" w:leftFromText="141" w:rightFromText="141" w:tblpX="70" w:tblpY="1" w:topFromText="0" w:vertAnchor="text"/>
        <w:tblW w:w="857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770"/>
        <w:gridCol w:w="1135"/>
        <w:gridCol w:w="1133"/>
        <w:gridCol w:w="993"/>
        <w:gridCol w:w="992"/>
        <w:gridCol w:w="1135"/>
        <w:gridCol w:w="1416"/>
      </w:tblGrid>
      <w:tr>
        <w:trPr/>
        <w:tc>
          <w:tcPr>
            <w:tcW w:w="177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Ročník</w:t>
            </w:r>
          </w:p>
        </w:tc>
        <w:tc>
          <w:tcPr>
            <w:tcW w:w="1135"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5.ročník</w:t>
            </w:r>
          </w:p>
        </w:tc>
        <w:tc>
          <w:tcPr>
            <w:tcW w:w="113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6.ročník</w:t>
            </w:r>
          </w:p>
        </w:tc>
        <w:tc>
          <w:tcPr>
            <w:tcW w:w="99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7.ročník</w:t>
            </w:r>
          </w:p>
        </w:tc>
        <w:tc>
          <w:tcPr>
            <w:tcW w:w="992"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8.ročník</w:t>
            </w:r>
          </w:p>
        </w:tc>
        <w:tc>
          <w:tcPr>
            <w:tcW w:w="1135"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9.ročník</w:t>
            </w:r>
          </w:p>
        </w:tc>
        <w:tc>
          <w:tcPr>
            <w:tcW w:w="1416"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Spolu</w:t>
            </w:r>
          </w:p>
        </w:tc>
      </w:tr>
      <w:tr>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žiakov</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85</w:t>
            </w:r>
          </w:p>
        </w:tc>
      </w:tr>
    </w:tbl>
    <w:p>
      <w:pPr>
        <w:pStyle w:val="Normal"/>
        <w:spacing w:lineRule="auto" w:line="240" w:before="0" w:after="0"/>
        <w:ind w:left="360" w:hanging="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 8. ročníka 3 žiak budú pokračovať v štúdiu na bilingválnom gymnáziu a 1 žiak ukončí školskú dochádzku v 8. ročníku a nezískal primárne vzdelanie.</w:t>
      </w:r>
    </w:p>
    <w:tbl>
      <w:tblPr>
        <w:tblW w:w="9157"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6961"/>
        <w:gridCol w:w="403"/>
        <w:gridCol w:w="394"/>
        <w:gridCol w:w="393"/>
        <w:gridCol w:w="402"/>
        <w:gridCol w:w="603"/>
      </w:tblGrid>
      <w:tr>
        <w:trPr>
          <w:trHeight w:val="624" w:hRule="atLeast"/>
        </w:trPr>
        <w:tc>
          <w:tcPr>
            <w:tcW w:w="9156" w:type="dxa"/>
            <w:gridSpan w:val="6"/>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i/>
                <w:i/>
                <w:color w:val="000000"/>
                <w:sz w:val="24"/>
                <w:szCs w:val="24"/>
                <w:lang w:eastAsia="sk-SK"/>
              </w:rPr>
            </w:pPr>
            <w:r>
              <w:rPr>
                <w:rFonts w:eastAsia="Times New Roman" w:cs="Times New Roman" w:ascii="Times New Roman" w:hAnsi="Times New Roman"/>
                <w:b/>
                <w:bCs/>
                <w:i/>
                <w:color w:val="000000"/>
                <w:sz w:val="24"/>
                <w:szCs w:val="24"/>
                <w:lang w:eastAsia="sk-SK"/>
              </w:rPr>
            </w:r>
          </w:p>
          <w:p>
            <w:pPr>
              <w:pStyle w:val="Normal"/>
              <w:widowControl w:val="false"/>
              <w:spacing w:lineRule="auto" w:line="240" w:before="0" w:after="0"/>
              <w:rPr>
                <w:rFonts w:ascii="Times New Roman" w:hAnsi="Times New Roman" w:eastAsia="Times New Roman" w:cs="Times New Roman"/>
                <w:b/>
                <w:b/>
                <w:bCs/>
                <w:i/>
                <w:i/>
                <w:color w:val="548DD4" w:themeColor="text2" w:themeTint="99"/>
                <w:sz w:val="24"/>
                <w:szCs w:val="24"/>
                <w:lang w:eastAsia="sk-SK"/>
              </w:rPr>
            </w:pPr>
            <w:r>
              <w:rPr>
                <w:rFonts w:eastAsia="Times New Roman" w:cs="Times New Roman" w:ascii="Times New Roman" w:hAnsi="Times New Roman"/>
                <w:b/>
                <w:bCs/>
                <w:i/>
                <w:color w:val="548DD4" w:themeColor="text2" w:themeTint="99"/>
                <w:sz w:val="24"/>
                <w:szCs w:val="24"/>
                <w:lang w:eastAsia="sk-SK"/>
              </w:rPr>
              <w:t>Rozmiestnenie žiakov 9. ročníka na stredné školy</w:t>
            </w:r>
          </w:p>
          <w:p>
            <w:pPr>
              <w:pStyle w:val="Normal"/>
              <w:widowControl w:val="false"/>
              <w:spacing w:lineRule="auto" w:line="240" w:before="0" w:after="0"/>
              <w:rPr>
                <w:rFonts w:ascii="Times New Roman" w:hAnsi="Times New Roman" w:eastAsia="Times New Roman" w:cs="Times New Roman"/>
                <w:b/>
                <w:b/>
                <w:bCs/>
                <w:i/>
                <w:i/>
                <w:sz w:val="24"/>
                <w:szCs w:val="24"/>
                <w:lang w:eastAsia="sk-SK"/>
              </w:rPr>
            </w:pPr>
            <w:r>
              <w:rPr>
                <w:rFonts w:eastAsia="Times New Roman" w:cs="Times New Roman" w:ascii="Times New Roman" w:hAnsi="Times New Roman"/>
                <w:b/>
                <w:bCs/>
                <w:i/>
                <w:sz w:val="24"/>
                <w:szCs w:val="24"/>
                <w:lang w:eastAsia="sk-SK"/>
              </w:rPr>
            </w:r>
          </w:p>
          <w:tbl>
            <w:tblPr>
              <w:tblW w:w="900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517"/>
              <w:gridCol w:w="554"/>
              <w:gridCol w:w="626"/>
              <w:gridCol w:w="536"/>
              <w:gridCol w:w="626"/>
              <w:gridCol w:w="536"/>
              <w:gridCol w:w="572"/>
              <w:gridCol w:w="537"/>
              <w:gridCol w:w="502"/>
            </w:tblGrid>
            <w:tr>
              <w:trPr>
                <w:trHeight w:val="288" w:hRule="atLeast"/>
              </w:trPr>
              <w:tc>
                <w:tcPr>
                  <w:tcW w:w="4517" w:type="dxa"/>
                  <w:tcBorders>
                    <w:top w:val="single" w:sz="4" w:space="0" w:color="000000"/>
                    <w:left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rPr>
                      <w:rFonts w:ascii="Times New Roman" w:hAnsi="Times New Roman" w:eastAsia="Times New Roman" w:cs="Times New Roman"/>
                      <w:b/>
                      <w:b/>
                      <w:bCs/>
                      <w:i/>
                      <w:i/>
                      <w:color w:val="365F91" w:themeColor="accent1" w:themeShade="bf"/>
                      <w:sz w:val="24"/>
                      <w:szCs w:val="24"/>
                      <w:lang w:eastAsia="sk-SK"/>
                    </w:rPr>
                  </w:pPr>
                  <w:r>
                    <w:rPr>
                      <w:rFonts w:eastAsia="Times New Roman" w:cs="Times New Roman" w:ascii="Times New Roman" w:hAnsi="Times New Roman"/>
                      <w:b/>
                      <w:bCs/>
                      <w:i/>
                      <w:color w:val="365F91" w:themeColor="accent1" w:themeShade="bf"/>
                      <w:sz w:val="24"/>
                      <w:szCs w:val="24"/>
                      <w:lang w:eastAsia="sk-SK"/>
                    </w:rPr>
                    <w:t>Názov školy</w:t>
                  </w:r>
                </w:p>
              </w:tc>
              <w:tc>
                <w:tcPr>
                  <w:tcW w:w="554"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9. A</w:t>
                  </w:r>
                </w:p>
              </w:tc>
              <w:tc>
                <w:tcPr>
                  <w:tcW w:w="626"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9. B</w:t>
                  </w:r>
                </w:p>
              </w:tc>
              <w:tc>
                <w:tcPr>
                  <w:tcW w:w="536"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9. C</w:t>
                  </w:r>
                </w:p>
              </w:tc>
              <w:tc>
                <w:tcPr>
                  <w:tcW w:w="626"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8.A</w:t>
                  </w:r>
                </w:p>
              </w:tc>
              <w:tc>
                <w:tcPr>
                  <w:tcW w:w="536"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8. B</w:t>
                  </w:r>
                </w:p>
              </w:tc>
              <w:tc>
                <w:tcPr>
                  <w:tcW w:w="572"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8. C</w:t>
                  </w:r>
                </w:p>
              </w:tc>
              <w:tc>
                <w:tcPr>
                  <w:tcW w:w="537" w:type="dxa"/>
                  <w:tcBorders>
                    <w:top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spacing w:lineRule="auto" w:line="240" w:before="0" w:after="0"/>
                    <w:jc w:val="right"/>
                    <w:rPr>
                      <w:rFonts w:ascii="Times New Roman" w:hAnsi="Times New Roman" w:eastAsia="Times New Roman" w:cs="Times New Roman"/>
                      <w:b/>
                      <w:b/>
                      <w:i/>
                      <w:i/>
                      <w:color w:val="365F91" w:themeColor="accent1" w:themeShade="bf"/>
                      <w:sz w:val="18"/>
                      <w:szCs w:val="18"/>
                      <w:lang w:eastAsia="sk-SK"/>
                    </w:rPr>
                  </w:pPr>
                  <w:r>
                    <w:rPr>
                      <w:rFonts w:eastAsia="Times New Roman" w:cs="Times New Roman" w:ascii="Times New Roman" w:hAnsi="Times New Roman"/>
                      <w:b/>
                      <w:i/>
                      <w:color w:val="365F91" w:themeColor="accent1" w:themeShade="bf"/>
                      <w:sz w:val="18"/>
                      <w:szCs w:val="18"/>
                      <w:lang w:eastAsia="sk-SK"/>
                    </w:rPr>
                    <w:t>8. D</w:t>
                  </w:r>
                </w:p>
              </w:tc>
              <w:tc>
                <w:tcPr>
                  <w:tcW w:w="502" w:type="dxa"/>
                  <w:tcBorders>
                    <w:top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rPr>
                      <w:rFonts w:ascii="Times New Roman" w:hAnsi="Times New Roman" w:eastAsia="Times New Roman" w:cs="Times New Roman"/>
                      <w:b/>
                      <w:b/>
                      <w:bCs/>
                      <w:i/>
                      <w:i/>
                      <w:color w:val="365F91" w:themeColor="accent1" w:themeShade="bf"/>
                      <w:sz w:val="16"/>
                      <w:szCs w:val="16"/>
                      <w:lang w:eastAsia="sk-SK"/>
                    </w:rPr>
                  </w:pPr>
                  <w:r>
                    <w:rPr>
                      <w:rFonts w:eastAsia="Times New Roman" w:cs="Times New Roman" w:ascii="Times New Roman" w:hAnsi="Times New Roman"/>
                      <w:b/>
                      <w:bCs/>
                      <w:i/>
                      <w:color w:val="365F91" w:themeColor="accent1" w:themeShade="bf"/>
                      <w:sz w:val="16"/>
                      <w:szCs w:val="16"/>
                      <w:lang w:eastAsia="sk-SK"/>
                    </w:rPr>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Gymnázium L. Stockela - bilingválne,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2</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Gymnázium sv. J.Bosca - bilingválne,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 </w:t>
                  </w:r>
                  <w:r>
                    <w:rPr>
                      <w:rFonts w:eastAsia="Times New Roman" w:cs="Times New Roman" w:ascii="Times New Roman" w:hAnsi="Times New Roman"/>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 </w:t>
                  </w:r>
                  <w:r>
                    <w:rPr>
                      <w:rFonts w:eastAsia="Times New Roman" w:cs="Times New Roman" w:ascii="Times New Roman" w:hAnsi="Times New Roman"/>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 </w:t>
                  </w:r>
                  <w:r>
                    <w:rPr>
                      <w:rFonts w:eastAsia="Times New Roman" w:cs="Times New Roman" w:ascii="Times New Roman" w:hAnsi="Times New Roman"/>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 </w:t>
                  </w:r>
                  <w:r>
                    <w:rPr>
                      <w:rFonts w:eastAsia="Times New Roman" w:cs="Times New Roman" w:ascii="Times New Roman" w:hAnsi="Times New Roman"/>
                      <w:sz w:val="20"/>
                      <w:szCs w:val="20"/>
                      <w:lang w:eastAsia="sk-SK"/>
                    </w:rPr>
                    <w:t>2</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3</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SŠJH -SOŠ polytechnická,BJ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5</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8</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13</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SŠJH - gymnázium,BJ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3</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Gymnázium L. Stockela,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5</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2</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8</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ekonomiky, hotel. a služieb, Pod Vinbargom 3,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4</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4</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2</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10</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SPŠ Komenského 5,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5</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t>3</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lang w:eastAsia="sk-SK"/>
                    </w:rPr>
                  </w:pPr>
                  <w:r>
                    <w:rPr>
                      <w:rFonts w:eastAsia="Times New Roman" w:cs="Times New Roman" w:ascii="Times New Roman" w:hAnsi="Times New Roman"/>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9</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SSOŠ, Hviezdoslavova,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3</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4</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Súkromné gymnázium, DSA,BJ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3</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3</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Svidník</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Konzervatórium, Timonova 2, KE</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2</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Súkromné konzervatórium, Zádielska, Košice</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automobilová, Moldavská cesta2, Košice</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pedagogická, Kmeťovo stromoradie 2, PO</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Spojená škola obchodu a služieb, Štefánikolva 64, BJ</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SSOŠ  hotelierstva a gastronómie Mladosť, Pod Kalváriou 36, Prešov</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priem.tech. Košice</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SOŠ dopravná, Prešov</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000000" w:fill="E7E6E6"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eastAsia="sk-SK"/>
                    </w:rPr>
                  </w:pPr>
                  <w:r>
                    <w:rPr>
                      <w:rFonts w:eastAsia="Times New Roman" w:cs="Times New Roman" w:ascii="Times New Roman" w:hAnsi="Times New Roman"/>
                      <w:color w:val="000000"/>
                      <w:sz w:val="18"/>
                      <w:szCs w:val="18"/>
                      <w:lang w:eastAsia="sk-SK"/>
                    </w:rPr>
                    <w:t>Stredná športová škola, Košice</w:t>
                  </w:r>
                </w:p>
              </w:tc>
              <w:tc>
                <w:tcPr>
                  <w:tcW w:w="55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6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r>
                </w:p>
              </w:tc>
              <w:tc>
                <w:tcPr>
                  <w:tcW w:w="5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lang w:eastAsia="sk-SK"/>
                    </w:rPr>
                  </w:pPr>
                  <w:r>
                    <w:rPr/>
                  </w:r>
                </w:p>
              </w:tc>
              <w:tc>
                <w:tcPr>
                  <w:tcW w:w="502" w:type="dxa"/>
                  <w:tcBorders>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r>
            <w:tr>
              <w:trPr>
                <w:trHeight w:val="288" w:hRule="atLeast"/>
              </w:trPr>
              <w:tc>
                <w:tcPr>
                  <w:tcW w:w="4517" w:type="dxa"/>
                  <w:tcBorders>
                    <w:left w:val="single" w:sz="4" w:space="0" w:color="000000"/>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b/>
                      <w:b/>
                      <w:bCs/>
                      <w:color w:val="000000"/>
                      <w:sz w:val="20"/>
                      <w:szCs w:val="20"/>
                      <w:lang w:eastAsia="sk-SK"/>
                    </w:rPr>
                  </w:pPr>
                  <w:r>
                    <w:rPr>
                      <w:rFonts w:eastAsia="Times New Roman" w:cs="Times New Roman" w:ascii="Times New Roman" w:hAnsi="Times New Roman"/>
                      <w:b/>
                      <w:bCs/>
                      <w:color w:val="000000"/>
                      <w:sz w:val="20"/>
                      <w:szCs w:val="20"/>
                      <w:lang w:eastAsia="sk-SK"/>
                    </w:rPr>
                    <w:t>Spolu:</w:t>
                  </w:r>
                </w:p>
              </w:tc>
              <w:tc>
                <w:tcPr>
                  <w:tcW w:w="554"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22</w:t>
                  </w:r>
                </w:p>
              </w:tc>
              <w:tc>
                <w:tcPr>
                  <w:tcW w:w="626"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19</w:t>
                  </w:r>
                </w:p>
              </w:tc>
              <w:tc>
                <w:tcPr>
                  <w:tcW w:w="536"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21</w:t>
                  </w:r>
                </w:p>
              </w:tc>
              <w:tc>
                <w:tcPr>
                  <w:tcW w:w="626"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2</w:t>
                  </w:r>
                </w:p>
              </w:tc>
              <w:tc>
                <w:tcPr>
                  <w:tcW w:w="536"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0</w:t>
                  </w:r>
                </w:p>
              </w:tc>
              <w:tc>
                <w:tcPr>
                  <w:tcW w:w="572"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37"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1</w:t>
                  </w:r>
                </w:p>
              </w:tc>
              <w:tc>
                <w:tcPr>
                  <w:tcW w:w="502" w:type="dxa"/>
                  <w:tcBorders>
                    <w:bottom w:val="single" w:sz="4" w:space="0" w:color="000000"/>
                    <w:right w:val="single" w:sz="4" w:space="0" w:color="000000"/>
                  </w:tcBorders>
                  <w:shd w:color="auto" w:fill="548DD4" w:themeFill="text2" w:themeFillTint="99"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0"/>
                      <w:lang w:eastAsia="sk-SK"/>
                    </w:rPr>
                  </w:pPr>
                  <w:r>
                    <w:rPr>
                      <w:rFonts w:eastAsia="Times New Roman" w:cs="Times New Roman" w:ascii="Times New Roman" w:hAnsi="Times New Roman"/>
                      <w:color w:val="000000"/>
                      <w:sz w:val="20"/>
                      <w:szCs w:val="20"/>
                      <w:lang w:eastAsia="sk-SK"/>
                    </w:rPr>
                    <w:t>66</w:t>
                  </w:r>
                </w:p>
              </w:tc>
            </w:tr>
          </w:tbl>
          <w:p>
            <w:pPr>
              <w:pStyle w:val="Normal"/>
              <w:widowControl w:val="false"/>
              <w:spacing w:lineRule="auto" w:line="240" w:before="0" w:after="0"/>
              <w:rPr>
                <w:rFonts w:ascii="Times New Roman" w:hAnsi="Times New Roman" w:eastAsia="Times New Roman" w:cs="Times New Roman"/>
                <w:b/>
                <w:b/>
                <w:bCs/>
                <w:i/>
                <w:i/>
                <w:color w:val="000000"/>
                <w:sz w:val="24"/>
                <w:szCs w:val="24"/>
                <w:lang w:eastAsia="sk-SK"/>
              </w:rPr>
            </w:pPr>
            <w:r>
              <w:rPr>
                <w:rFonts w:eastAsia="Times New Roman" w:cs="Times New Roman" w:ascii="Times New Roman" w:hAnsi="Times New Roman"/>
                <w:b/>
                <w:bCs/>
                <w:i/>
                <w:color w:val="000000"/>
                <w:sz w:val="24"/>
                <w:szCs w:val="24"/>
                <w:lang w:eastAsia="sk-SK"/>
              </w:rPr>
            </w:r>
          </w:p>
          <w:p>
            <w:pPr>
              <w:pStyle w:val="Normal"/>
              <w:widowControl w:val="false"/>
              <w:spacing w:lineRule="auto" w:line="240" w:before="0" w:after="0"/>
              <w:rPr>
                <w:rFonts w:ascii="Times New Roman" w:hAnsi="Times New Roman" w:eastAsia="Times New Roman" w:cs="Times New Roman"/>
                <w:b/>
                <w:b/>
                <w:bCs/>
                <w:i/>
                <w:i/>
                <w:color w:val="000000"/>
                <w:sz w:val="24"/>
                <w:szCs w:val="24"/>
                <w:lang w:eastAsia="sk-SK"/>
              </w:rPr>
            </w:pPr>
            <w:r>
              <w:rPr>
                <w:rFonts w:eastAsia="Times New Roman" w:cs="Times New Roman" w:ascii="Times New Roman" w:hAnsi="Times New Roman"/>
                <w:b/>
                <w:bCs/>
                <w:i/>
                <w:color w:val="000000"/>
                <w:sz w:val="24"/>
                <w:szCs w:val="24"/>
                <w:lang w:eastAsia="sk-SK"/>
              </w:rPr>
            </w:r>
          </w:p>
        </w:tc>
      </w:tr>
      <w:tr>
        <w:trPr>
          <w:trHeight w:val="288" w:hRule="atLeast"/>
        </w:trPr>
        <w:tc>
          <w:tcPr>
            <w:tcW w:w="6961"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bl>
            <w:tblPr>
              <w:tblStyle w:val="Mriekatabuky"/>
              <w:tblW w:w="90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12"/>
            </w:tblGrid>
            <w:tr>
              <w:trPr/>
              <w:tc>
                <w:tcPr>
                  <w:tcW w:w="9012" w:type="dxa"/>
                  <w:tcBorders/>
                  <w:shd w:color="auto" w:fill="548DD4" w:themeFill="text2" w:themeFillTint="99" w:val="clear"/>
                </w:tcPr>
                <w:p>
                  <w:pPr>
                    <w:pStyle w:val="Normal"/>
                    <w:widowControl/>
                    <w:spacing w:lineRule="auto" w:line="240" w:before="0" w:after="0"/>
                    <w:jc w:val="center"/>
                    <w:rPr>
                      <w:color w:val="000000"/>
                      <w:sz w:val="24"/>
                      <w:szCs w:val="24"/>
                    </w:rPr>
                  </w:pPr>
                  <w:r>
                    <w:rPr>
                      <w:rFonts w:eastAsia="Times New Roman" w:cs="Times New Roman" w:ascii="Times New Roman" w:hAnsi="Times New Roman"/>
                      <w:b/>
                      <w:kern w:val="0"/>
                      <w:sz w:val="24"/>
                      <w:szCs w:val="24"/>
                      <w:lang w:val="sk-SK" w:eastAsia="sk-SK" w:bidi="ar-SA"/>
                    </w:rPr>
                    <w:t>Vyhodnotenie činnosti výchovného poradcu</w:t>
                  </w:r>
                </w:p>
              </w:tc>
            </w:tr>
          </w:tbl>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40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39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39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40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60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r>
    </w:tbl>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i/>
          <w:i/>
          <w:color w:val="548DD4" w:themeColor="text2" w:themeTint="99"/>
          <w:sz w:val="24"/>
          <w:szCs w:val="24"/>
        </w:rPr>
      </w:pPr>
      <w:r>
        <w:rPr>
          <w:rFonts w:cs="Times New Roman" w:ascii="Times New Roman" w:hAnsi="Times New Roman"/>
          <w:b/>
          <w:i/>
          <w:color w:val="548DD4" w:themeColor="text2" w:themeTint="99"/>
          <w:sz w:val="24"/>
          <w:szCs w:val="24"/>
        </w:rPr>
        <w:t>Plnenie úloh výchovného poradcu:</w:t>
      </w:r>
    </w:p>
    <w:p>
      <w:pPr>
        <w:pStyle w:val="Normal"/>
        <w:spacing w:lineRule="auto" w:line="240" w:before="0" w:after="0"/>
        <w:jc w:val="both"/>
        <w:rPr>
          <w:rFonts w:ascii="Times New Roman" w:hAnsi="Times New Roman" w:cs="Times New Roman"/>
          <w:b/>
          <w:b/>
          <w:i/>
          <w:i/>
          <w:color w:val="548DD4" w:themeColor="text2" w:themeTint="99"/>
          <w:sz w:val="24"/>
          <w:szCs w:val="24"/>
        </w:rPr>
      </w:pPr>
      <w:r>
        <w:rPr>
          <w:rFonts w:cs="Times New Roman" w:ascii="Times New Roman" w:hAnsi="Times New Roman"/>
          <w:b/>
          <w:i/>
          <w:color w:val="548DD4" w:themeColor="text2" w:themeTint="99"/>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i/>
          <w:color w:val="548DD4" w:themeColor="text2" w:themeTint="99"/>
          <w:sz w:val="24"/>
          <w:szCs w:val="24"/>
        </w:rPr>
        <w:t xml:space="preserve"> </w:t>
      </w:r>
      <w:r>
        <w:rPr>
          <w:rFonts w:cs="Times New Roman" w:ascii="Times New Roman" w:hAnsi="Times New Roman"/>
          <w:sz w:val="24"/>
          <w:szCs w:val="24"/>
        </w:rPr>
        <w:t>Činnosť výchovného poradcu bola riadená plánom práce na školský rok 2022/2023, v ktorom sú úlohy stále a priebežné. Tie sa plnia počas celého školského roka.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Termínový harmonogram práce výchovného poradcu je rozpracovaný konkrétne na jednotlivé mesiace v danom školskom roku.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 septembri boli zaktualizované nástenné noviny k voľbe povolania , bol vypracovaný plán výchovného poradenstva na daný školský rok a uskutočnila sa analýza rozmiestnenia žiakov na SŠ.</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 októbri sa urobila  depistáž žiakov, ktorí končia povinnú školskú dochádzku, doplnili sa zoznamy žiakov 9.ročníka do programu Proforient.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20. októbra  bola  importovaná do Proforientu anonymná databáza pre simuláciu poradia z internetu.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Zber údajov na T5- 2023 a T 9- 2023 sa uskutočnil od 15. do 30. novembra, databázy piatakov a deviatakov boli odoslané.</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 16. januára bol uskutočnený export informácií(prehľad žiakov o predbežnom rozmiestnení na SŠ) s 2 strednými školami do ŠVS Michalovce a 20. januára  bola importovaná anonymná databáza pre simuláciu poradia z internetu.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Do 2. marca boli do prihlášok vpísané polročné známky a boli kompletizované prihlášky žiakov všetkých odborov a bol zaslaný export informácií z Proforientu do ŠVS - polročné známky, talentové skúšky, bežné stredné školy.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marca bola importovaná anonymná databáza do Proforientu pre simuláciu poradia   z internetu.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Prihlášky na SŠ boli odoslané do 20. marca 2023 cez edupage rodičmi, školou a aj v tlačenej podobe.</w:t>
      </w:r>
    </w:p>
    <w:p>
      <w:pPr>
        <w:pStyle w:val="Normal"/>
        <w:jc w:val="both"/>
        <w:rPr>
          <w:rFonts w:ascii="Times New Roman" w:hAnsi="Times New Roman" w:cs="Times New Roman"/>
          <w:sz w:val="24"/>
          <w:szCs w:val="24"/>
        </w:rPr>
      </w:pPr>
      <w:r>
        <w:rPr>
          <w:rFonts w:cs="Times New Roman" w:ascii="Times New Roman" w:hAnsi="Times New Roman"/>
          <w:sz w:val="24"/>
          <w:szCs w:val="24"/>
        </w:rPr>
        <w:t>22. marca uskutočnilo T 9 – 2023,zúčastnili sa ho všetci žiaci našej školy okrem dvoch žiakov s mentálnym postihnutím (Ján Billý a Vanesa Bilá) a jednou žiačkou so ZZ Nina Kmecíková.</w:t>
      </w:r>
    </w:p>
    <w:p>
      <w:pPr>
        <w:pStyle w:val="Normal"/>
        <w:jc w:val="both"/>
        <w:rPr>
          <w:rFonts w:ascii="Times New Roman" w:hAnsi="Times New Roman" w:cs="Times New Roman"/>
          <w:sz w:val="24"/>
          <w:szCs w:val="24"/>
        </w:rPr>
      </w:pPr>
      <w:r>
        <w:rPr>
          <w:rFonts w:cs="Times New Roman" w:ascii="Times New Roman" w:hAnsi="Times New Roman"/>
          <w:sz w:val="24"/>
          <w:szCs w:val="24"/>
        </w:rPr>
        <w:t>Prijímacie konanie na SŠ sa uskutočnilo v 1. kole v dvoch termínoch - 4. – 5. mája a 9. – 10. mája, talentové skúšky - 4. – 5. mája a 9. – 10. mája.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žiaci našej školy) sa zúčastnili prijímacieho konania v 2. kole(20.6.2023). Všetci boli prijatí.</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T5 – 2023, ktoré bolo plánované 19.mája bolo Ministerstvom školstva zrušené.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V júni bola vedená evidencia prijatých žiakov a boli vypĺňané prihlášky žiakom 8. roč. ZŠ do Proforientu.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V druhej  polovici júna bola zosumarizovaná evidencia prijatých žiakov na SŠ.    Do 30. júna bol zaslaný export informácií žiakov 8.roč. – 2 SŠ, známky po 8. ročníku do ŠVS.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Počas celého roka som poskytoval konzultácie rodičom, žiakom a triednym učiteľom a komunikoval som s rodičmi a žiakmi pomocou telefónu a edupagu.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Zo 70 žiakov 9. ročníka 6 žiaci (Alexandra Špirengová, Alex Špireng, Ema Počureková, Adam Dančišín, Sebastián Čičvara, Richard Dvorský) si nepodali prihlášku na strednú školu, sú žiakmi, ktorí plnia povinnú školskú dochádzku mimo územia SR.</w:t>
        <w:tab/>
        <w:tab/>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žiaci z 9.A (Nina Kmeciková, Vanesa Bilá, Ján Billý) ukončili povinú školskú dochádzku a nepokračujú v štúdiu na strednej škole.</w:t>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4 žiaci z 8. ročníka (Denisa Paňková, Oliver Kováčik, Lenka Tarnovská, Matúš Brezáni) pokračujú v štúdiu na bilingválnych gymnáziách.</w:t>
        <w:tab/>
        <w:tab/>
        <w:tab/>
        <w:tab/>
        <w:tab/>
        <w:tab/>
      </w:r>
    </w:p>
    <w:p>
      <w:pPr>
        <w:pStyle w:val="Normal"/>
        <w:tabs>
          <w:tab w:val="clear" w:pos="708"/>
          <w:tab w:val="left" w:pos="426" w:leader="none"/>
          <w:tab w:val="left" w:pos="709" w:leader="none"/>
        </w:tabs>
        <w:spacing w:lineRule="auto" w:line="240"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rPr>
            </w:pPr>
            <w:r>
              <w:rPr>
                <w:rFonts w:eastAsia="Times New Roman" w:cs="Times New Roman" w:ascii="Times New Roman" w:hAnsi="Times New Roman"/>
                <w:b/>
                <w:kern w:val="0"/>
                <w:sz w:val="24"/>
                <w:szCs w:val="24"/>
                <w:lang w:val="sk-SK" w:eastAsia="sk-SK" w:bidi="ar-SA"/>
              </w:rPr>
              <w:t>Vyhodnotenie činnosti školského špeciálneho pedagóga</w:t>
            </w:r>
          </w:p>
        </w:tc>
      </w:tr>
    </w:tbl>
    <w:p>
      <w:pPr>
        <w:pStyle w:val="Normal"/>
        <w:spacing w:lineRule="auto" w:line="240" w:before="0" w:after="0"/>
        <w:jc w:val="both"/>
        <w:rPr>
          <w:rFonts w:ascii="Times New Roman" w:hAnsi="Times New Roman" w:cs="Times New Roman"/>
          <w:b/>
          <w:b/>
          <w:color w:val="4F81BD" w:themeColor="accent1"/>
          <w:sz w:val="24"/>
          <w:szCs w:val="24"/>
        </w:rPr>
      </w:pPr>
      <w:r>
        <w:rPr>
          <w:rFonts w:cs="Times New Roman" w:ascii="Times New Roman" w:hAnsi="Times New Roman"/>
          <w:b/>
          <w:color w:val="4F81BD" w:themeColor="accent1"/>
          <w:sz w:val="24"/>
          <w:szCs w:val="24"/>
        </w:rPr>
      </w:r>
    </w:p>
    <w:p>
      <w:pPr>
        <w:pStyle w:val="Normal"/>
        <w:suppressAutoHyphens w:val="true"/>
        <w:spacing w:lineRule="auto" w:line="240" w:before="0" w:after="0"/>
        <w:ind w:firstLine="708"/>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Činnosť školskej špeciálnej pedagogičky (ďalej len ŠŠP) v  školskom roku 2022/2023 prebiehala podľa stanoveného Plánu práce ŠŠP s menšími úpravami.</w:t>
      </w:r>
    </w:p>
    <w:p>
      <w:pPr>
        <w:pStyle w:val="Normal"/>
        <w:suppressAutoHyphens w:val="true"/>
        <w:spacing w:lineRule="auto" w:line="240" w:before="0" w:after="0"/>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 xml:space="preserve">Na úseku ŠŠP pracovala aj pani K. Novak BA. </w:t>
      </w:r>
    </w:p>
    <w:p>
      <w:pPr>
        <w:pStyle w:val="Normal"/>
        <w:suppressAutoHyphens w:val="true"/>
        <w:spacing w:lineRule="auto" w:line="240" w:before="0" w:after="0"/>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 xml:space="preserve">Priama činnosť bola zameraná na priamu prácu so žiakmi so ŠVVP: </w:t>
      </w:r>
    </w:p>
    <w:p>
      <w:pPr>
        <w:pStyle w:val="Normal"/>
        <w:numPr>
          <w:ilvl w:val="0"/>
          <w:numId w:val="10"/>
        </w:numPr>
        <w:suppressAutoHyphens w:val="true"/>
        <w:spacing w:lineRule="auto" w:line="240" w:before="0" w:after="0"/>
        <w:contextualSpacing/>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 xml:space="preserve">žiaci so zdravotným znevýhodnením vzdelávaní formou školskej integrácie, </w:t>
      </w:r>
    </w:p>
    <w:p>
      <w:pPr>
        <w:pStyle w:val="Normal"/>
        <w:numPr>
          <w:ilvl w:val="0"/>
          <w:numId w:val="10"/>
        </w:numPr>
        <w:suppressAutoHyphens w:val="true"/>
        <w:spacing w:lineRule="auto" w:line="240" w:before="0" w:after="0"/>
        <w:contextualSpacing/>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 xml:space="preserve">žiaci zo sociálne znevýhodneného prostredia, </w:t>
      </w:r>
    </w:p>
    <w:p>
      <w:pPr>
        <w:pStyle w:val="Normal"/>
        <w:numPr>
          <w:ilvl w:val="0"/>
          <w:numId w:val="10"/>
        </w:numPr>
        <w:suppressAutoHyphens w:val="true"/>
        <w:spacing w:lineRule="auto" w:line="240" w:before="0" w:after="0"/>
        <w:contextualSpacing/>
        <w:jc w:val="both"/>
        <w:rPr>
          <w:rFonts w:ascii="Times New Roman" w:hAnsi="Times New Roman" w:eastAsia="Arial" w:cs="Times New Roman"/>
          <w:color w:val="000000"/>
          <w:sz w:val="24"/>
          <w:szCs w:val="24"/>
          <w:lang w:eastAsia="ar-SA"/>
        </w:rPr>
      </w:pPr>
      <w:r>
        <w:rPr>
          <w:rFonts w:eastAsia="Arial" w:cs="Times New Roman" w:ascii="Times New Roman" w:hAnsi="Times New Roman"/>
          <w:color w:val="000000"/>
          <w:sz w:val="24"/>
          <w:szCs w:val="24"/>
          <w:lang w:eastAsia="ar-SA"/>
        </w:rPr>
        <w:t xml:space="preserve">žiaci so všeobecným intelektovým nadaním.  </w:t>
      </w:r>
    </w:p>
    <w:p>
      <w:pPr>
        <w:pStyle w:val="Normal"/>
        <w:spacing w:lineRule="auto" w:line="240"/>
        <w:jc w:val="both"/>
        <w:rPr>
          <w:rFonts w:ascii="Times New Roman" w:hAnsi="Times New Roman" w:cs="Times New Roman"/>
          <w:sz w:val="24"/>
          <w:szCs w:val="24"/>
        </w:rPr>
      </w:pPr>
      <w:r>
        <w:rPr>
          <w:rFonts w:eastAsia="Arial" w:cs="Times New Roman" w:ascii="Times New Roman" w:hAnsi="Times New Roman"/>
          <w:color w:val="000000"/>
          <w:sz w:val="24"/>
          <w:szCs w:val="24"/>
          <w:lang w:eastAsia="ar-SA"/>
        </w:rPr>
        <w:t xml:space="preserve">    </w:t>
      </w:r>
      <w:r>
        <w:rPr>
          <w:rFonts w:eastAsia="Arial" w:cs="Times New Roman" w:ascii="Times New Roman" w:hAnsi="Times New Roman"/>
          <w:color w:val="000000"/>
          <w:sz w:val="24"/>
          <w:szCs w:val="24"/>
          <w:lang w:eastAsia="ar-SA"/>
        </w:rPr>
        <w:t>K</w:t>
      </w:r>
      <w:r>
        <w:rPr>
          <w:rFonts w:cs="Times New Roman" w:ascii="Times New Roman" w:hAnsi="Times New Roman"/>
          <w:sz w:val="24"/>
          <w:szCs w:val="24"/>
        </w:rPr>
        <w:t> 23.06.2023 bolo v starostlivosti školského špeciálneho pedagóga (ďalej len ŠŠP) spolu 95</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žiakov so špeciálno výchovno – vzdelávacími potrebami. Všetci žiaci sa vzdelávali formou individuálneho začlenenia v bežnej triede základnej školy.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Vo výchovno – vzdelávacom procese postupovali podľa individuálnych vzdelávacích programov a ich edukačné výsledky boli hodnotené podľa Metodického pokynu č. 22/2011 na hodnotenie žiakov základnej školy (č.:2011-3121/12824:4-921), príloha č.2 k metodickému pokynu č. 22/2011 – zásady hodnotenia žiaka so zdravotným znevýhodnením začleneného v základnej škole, platný od 1. mája 2011.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Mriekatabuky3"/>
        <w:tblW w:w="7229" w:type="dxa"/>
        <w:jc w:val="left"/>
        <w:tblInd w:w="1384" w:type="dxa"/>
        <w:tblLayout w:type="fixed"/>
        <w:tblCellMar>
          <w:top w:w="0" w:type="dxa"/>
          <w:left w:w="108" w:type="dxa"/>
          <w:bottom w:w="0" w:type="dxa"/>
          <w:right w:w="108" w:type="dxa"/>
        </w:tblCellMar>
        <w:tblLook w:firstRow="1" w:noVBand="1" w:lastRow="0" w:firstColumn="1" w:lastColumn="0" w:noHBand="0" w:val="04a0"/>
      </w:tblPr>
      <w:tblGrid>
        <w:gridCol w:w="4536"/>
        <w:gridCol w:w="2692"/>
      </w:tblGrid>
      <w:tr>
        <w:trPr/>
        <w:tc>
          <w:tcPr>
            <w:tcW w:w="4536" w:type="dxa"/>
            <w:tcBorders/>
            <w:shd w:color="auto" w:fill="548DD4" w:themeFill="text2" w:themeFillTint="99" w:val="clea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Vzdelávacie programy pre:</w:t>
            </w:r>
          </w:p>
        </w:tc>
        <w:tc>
          <w:tcPr>
            <w:tcW w:w="2692" w:type="dxa"/>
            <w:tcBorders/>
            <w:shd w:color="auto" w:fill="548DD4" w:themeFill="text2" w:themeFillTint="99" w:val="clea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Počet žiakov:</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VPU</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64</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NKS</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7</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PAP</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4</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MP</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6</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CHaZO</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7</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TP</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1</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VPS</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1</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SZP</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2</w:t>
            </w:r>
          </w:p>
        </w:tc>
      </w:tr>
      <w:tr>
        <w:trPr/>
        <w:tc>
          <w:tcPr>
            <w:tcW w:w="453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Intelektové nadanie</w:t>
            </w:r>
          </w:p>
        </w:tc>
        <w:tc>
          <w:tcPr>
            <w:tcW w:w="269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4</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Pri hodnotení učebných výsledkov pedagógovia rešpektovali psychický, fyzický a zdravotný stav žiakov, druh a stupeň zdravotného znevýhodnenia, ak mal vplyv na úroveň a výsledky práce žiaka s príslušnom predmete. Vyučujúci rešpektovali závery a odporúčania špeciálno - pedagogických, odborných a lekárskych vyšetrení a v celom vyučovacom procese uplatňovali ich špeciálno –pedagogické potreby.</w:t>
      </w:r>
    </w:p>
    <w:p>
      <w:pPr>
        <w:pStyle w:val="Normal"/>
        <w:spacing w:lineRule="auto" w:line="240"/>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Žiaci s mentálnym postihnutím sa vzdelávali podľa Štátneho vzdelávacieho programu pre žiakov s ľahkým stupňom mentálneho postihnutia. Zaradení boli v bežnej triede, vo výchovno – vzdelávacom procese postupovali podľa osnov špeciálnej základnej školy. Hodnotení boli podľa Metodického pokynu č. 19/2015 na hodnotenie a klasifikáciu prospechu a správania žiakov s mentálnym postihnutím – primárne vzdelávanie. </w:t>
      </w:r>
      <w:r>
        <w:rPr>
          <w:rFonts w:cs="Times New Roman" w:ascii="Times New Roman" w:hAnsi="Times New Roman"/>
          <w:color w:val="000000" w:themeColor="text1"/>
          <w:sz w:val="24"/>
          <w:szCs w:val="24"/>
        </w:rPr>
        <w:t xml:space="preserve">Vyučujúci pri vzdelávaní a hodnotení žiakov so zdravotným znevýhodnením vychádzali z individuálnych vzdelávacích programov pre jednotlivé zdravotné znevýhodnenie.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Zdravotne znevýhodnení žiaci, ktorí mali v odbornej psychologickej alebo špeciálno – pedagogickej správe odporučeného pedagogického asistenta (ďalej len PA), mali zo strany školy túto požiadavku splnenú. Na škole v súčasnosti pracujú: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- 4 asistenti učiteľa financovaní zo štátneho rozpočtu,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- 5 asistenti učiteľa z Národného projektu „Pomáhajúce profesie v edukácii detí a žiakov II“,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- 1 asistent učiteľa financovaného z prostriedkov mechanizmu Plánu obnovy a odolnosti SR.</w:t>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sz w:val="24"/>
                <w:szCs w:val="24"/>
              </w:rPr>
            </w:pPr>
            <w:r>
              <w:rPr>
                <w:rFonts w:eastAsia="Times New Roman" w:cs="Times New Roman" w:ascii="Times New Roman" w:hAnsi="Times New Roman"/>
                <w:b/>
                <w:kern w:val="0"/>
                <w:sz w:val="24"/>
                <w:szCs w:val="24"/>
                <w:lang w:val="sk-SK" w:eastAsia="sk-SK" w:bidi="ar-SA"/>
              </w:rPr>
              <w:t>Počet začlenených a nezačlenených žiakov v šk. roku 2022/23 k 15.9. 2022</w:t>
            </w:r>
          </w:p>
        </w:tc>
      </w:tr>
    </w:tbl>
    <w:p>
      <w:pPr>
        <w:pStyle w:val="Normal"/>
        <w:spacing w:lineRule="auto" w:line="240"/>
        <w:jc w:val="center"/>
        <w:rPr>
          <w:rFonts w:ascii="Times New Roman" w:hAnsi="Times New Roman" w:cs="Times New Roman"/>
          <w:sz w:val="24"/>
          <w:szCs w:val="24"/>
          <w:u w:val="single"/>
        </w:rPr>
      </w:pPr>
      <w:r>
        <w:rPr>
          <w:rFonts w:cs="Times New Roman" w:ascii="Times New Roman" w:hAnsi="Times New Roman"/>
          <w:sz w:val="24"/>
          <w:szCs w:val="24"/>
          <w:u w:val="single"/>
        </w:rPr>
      </w:r>
    </w:p>
    <w:tbl>
      <w:tblPr>
        <w:tblW w:w="8993"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842"/>
        <w:gridCol w:w="15"/>
        <w:gridCol w:w="867"/>
        <w:gridCol w:w="11"/>
        <w:gridCol w:w="1349"/>
        <w:gridCol w:w="1125"/>
        <w:gridCol w:w="1407"/>
        <w:gridCol w:w="1125"/>
        <w:gridCol w:w="2251"/>
      </w:tblGrid>
      <w:tr>
        <w:trPr>
          <w:trHeight w:val="195" w:hRule="atLeast"/>
        </w:trPr>
        <w:tc>
          <w:tcPr>
            <w:tcW w:w="857" w:type="dxa"/>
            <w:gridSpan w:val="2"/>
            <w:vMerge w:val="restart"/>
            <w:tcBorders>
              <w:top w:val="double" w:sz="4" w:space="0" w:color="000000"/>
              <w:left w:val="doub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Stupeň</w:t>
            </w:r>
          </w:p>
        </w:tc>
        <w:tc>
          <w:tcPr>
            <w:tcW w:w="867"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Ročník</w:t>
            </w:r>
          </w:p>
        </w:tc>
        <w:tc>
          <w:tcPr>
            <w:tcW w:w="2485" w:type="dxa"/>
            <w:gridSpan w:val="3"/>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Začlenení</w:t>
            </w:r>
          </w:p>
        </w:tc>
        <w:tc>
          <w:tcPr>
            <w:tcW w:w="1407"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Nezačlenení</w:t>
            </w:r>
          </w:p>
        </w:tc>
        <w:tc>
          <w:tcPr>
            <w:tcW w:w="1125"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CH/D</w:t>
            </w:r>
          </w:p>
        </w:tc>
        <w:tc>
          <w:tcPr>
            <w:tcW w:w="2251" w:type="dxa"/>
            <w:vMerge w:val="restart"/>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Poznámky</w:t>
            </w:r>
          </w:p>
        </w:tc>
      </w:tr>
      <w:tr>
        <w:trPr>
          <w:trHeight w:val="746" w:hRule="atLeast"/>
        </w:trPr>
        <w:tc>
          <w:tcPr>
            <w:tcW w:w="857" w:type="dxa"/>
            <w:gridSpan w:val="2"/>
            <w:vMerge w:val="continue"/>
            <w:tcBorders>
              <w:top w:val="single" w:sz="4" w:space="0" w:color="000000"/>
              <w:left w:val="doub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867"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1360" w:type="dxa"/>
            <w:gridSpan w:val="2"/>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Šk. integrácia</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CH/D</w:t>
            </w:r>
          </w:p>
        </w:tc>
        <w:tc>
          <w:tcPr>
            <w:tcW w:w="1407"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1125"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2251" w:type="dxa"/>
            <w:vMerge w:val="continue"/>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512" w:hRule="atLeast"/>
        </w:trPr>
        <w:tc>
          <w:tcPr>
            <w:tcW w:w="857" w:type="dxa"/>
            <w:gridSpan w:val="2"/>
            <w:vMerge w:val="restart"/>
            <w:tcBorders>
              <w:left w:val="double" w:sz="4" w:space="0" w:color="000000"/>
              <w:bottom w:val="doub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rPr>
              <w:t xml:space="preserve">  </w:t>
            </w:r>
            <w:r>
              <w:rPr>
                <w:rFonts w:cs="Times New Roman" w:ascii="Times New Roman" w:hAnsi="Times New Roman"/>
                <w:b/>
                <w:sz w:val="24"/>
                <w:szCs w:val="24"/>
              </w:rPr>
              <w:t>I. st.</w:t>
            </w:r>
          </w:p>
        </w:tc>
        <w:tc>
          <w:tcPr>
            <w:tcW w:w="867"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1.</w:t>
            </w:r>
          </w:p>
        </w:tc>
        <w:tc>
          <w:tcPr>
            <w:tcW w:w="1360" w:type="dxa"/>
            <w:gridSpan w:val="2"/>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0/0</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535" w:hRule="atLeast"/>
        </w:trPr>
        <w:tc>
          <w:tcPr>
            <w:tcW w:w="857" w:type="dxa"/>
            <w:gridSpan w:val="2"/>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67"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2.</w:t>
            </w:r>
          </w:p>
        </w:tc>
        <w:tc>
          <w:tcPr>
            <w:tcW w:w="1360" w:type="dxa"/>
            <w:gridSpan w:val="2"/>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0/1</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0/0</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474" w:hRule="atLeast"/>
        </w:trPr>
        <w:tc>
          <w:tcPr>
            <w:tcW w:w="857" w:type="dxa"/>
            <w:gridSpan w:val="2"/>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67"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3.</w:t>
            </w:r>
          </w:p>
        </w:tc>
        <w:tc>
          <w:tcPr>
            <w:tcW w:w="1360" w:type="dxa"/>
            <w:gridSpan w:val="2"/>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8/2</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1/1</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471" w:hRule="atLeast"/>
        </w:trPr>
        <w:tc>
          <w:tcPr>
            <w:tcW w:w="857" w:type="dxa"/>
            <w:gridSpan w:val="2"/>
            <w:vMerge w:val="continue"/>
            <w:tcBorders>
              <w:top w:val="single" w:sz="4" w:space="0" w:color="000000"/>
              <w:left w:val="double" w:sz="4" w:space="0" w:color="000000"/>
              <w:bottom w:val="doub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67" w:type="dxa"/>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4.</w:t>
            </w:r>
          </w:p>
        </w:tc>
        <w:tc>
          <w:tcPr>
            <w:tcW w:w="1360" w:type="dxa"/>
            <w:gridSpan w:val="2"/>
            <w:tcBorders>
              <w:top w:val="sing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w:t>
            </w:r>
          </w:p>
        </w:tc>
        <w:tc>
          <w:tcPr>
            <w:tcW w:w="1125" w:type="dxa"/>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5/5</w:t>
            </w:r>
          </w:p>
        </w:tc>
        <w:tc>
          <w:tcPr>
            <w:tcW w:w="1407" w:type="dxa"/>
            <w:tcBorders>
              <w:top w:val="sing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3</w:t>
            </w:r>
          </w:p>
        </w:tc>
        <w:tc>
          <w:tcPr>
            <w:tcW w:w="1125" w:type="dxa"/>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1/2</w:t>
            </w:r>
          </w:p>
        </w:tc>
        <w:tc>
          <w:tcPr>
            <w:tcW w:w="2251" w:type="dxa"/>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563" w:hRule="atLeast"/>
        </w:trPr>
        <w:tc>
          <w:tcPr>
            <w:tcW w:w="1724" w:type="dxa"/>
            <w:gridSpan w:val="3"/>
            <w:tcBorders>
              <w:top w:val="double" w:sz="4" w:space="0" w:color="000000"/>
              <w:left w:val="double" w:sz="4" w:space="0" w:color="000000"/>
              <w:bottom w:val="double" w:sz="4" w:space="0" w:color="000000"/>
              <w:right w:val="double" w:sz="4" w:space="0" w:color="000000"/>
            </w:tcBorders>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Spolu I. st.</w:t>
            </w:r>
          </w:p>
        </w:tc>
        <w:tc>
          <w:tcPr>
            <w:tcW w:w="1360" w:type="dxa"/>
            <w:gridSpan w:val="2"/>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22</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14/8</w:t>
            </w:r>
          </w:p>
        </w:tc>
        <w:tc>
          <w:tcPr>
            <w:tcW w:w="1407"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5</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2/3</w:t>
            </w:r>
          </w:p>
        </w:tc>
        <w:tc>
          <w:tcPr>
            <w:tcW w:w="2251" w:type="dxa"/>
            <w:tcBorders>
              <w:top w:val="doub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619" w:hRule="atLeast"/>
        </w:trPr>
        <w:tc>
          <w:tcPr>
            <w:tcW w:w="842" w:type="dxa"/>
            <w:vMerge w:val="restart"/>
            <w:tcBorders>
              <w:top w:val="double" w:sz="4" w:space="0" w:color="000000"/>
              <w:left w:val="double" w:sz="4" w:space="0" w:color="000000"/>
              <w:bottom w:val="doub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II. st.</w:t>
            </w:r>
          </w:p>
        </w:tc>
        <w:tc>
          <w:tcPr>
            <w:tcW w:w="893" w:type="dxa"/>
            <w:gridSpan w:val="3"/>
            <w:tcBorders>
              <w:top w:val="doub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5.</w:t>
            </w:r>
          </w:p>
        </w:tc>
        <w:tc>
          <w:tcPr>
            <w:tcW w:w="1349" w:type="dxa"/>
            <w:tcBorders>
              <w:top w:val="doub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13</w:t>
            </w:r>
          </w:p>
        </w:tc>
        <w:tc>
          <w:tcPr>
            <w:tcW w:w="1125" w:type="dxa"/>
            <w:tcBorders>
              <w:top w:val="doub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10/3</w:t>
            </w:r>
          </w:p>
        </w:tc>
        <w:tc>
          <w:tcPr>
            <w:tcW w:w="1407" w:type="dxa"/>
            <w:tcBorders>
              <w:top w:val="doub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w:t>
            </w:r>
          </w:p>
        </w:tc>
        <w:tc>
          <w:tcPr>
            <w:tcW w:w="1125" w:type="dxa"/>
            <w:tcBorders>
              <w:top w:val="doub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2/0</w:t>
            </w:r>
          </w:p>
        </w:tc>
        <w:tc>
          <w:tcPr>
            <w:tcW w:w="2251" w:type="dxa"/>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709" w:hRule="atLeast"/>
        </w:trPr>
        <w:tc>
          <w:tcPr>
            <w:tcW w:w="84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93"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6.</w:t>
            </w:r>
          </w:p>
        </w:tc>
        <w:tc>
          <w:tcPr>
            <w:tcW w:w="1349"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14</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10/4</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4</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1/3</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637" w:hRule="atLeast"/>
        </w:trPr>
        <w:tc>
          <w:tcPr>
            <w:tcW w:w="84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93"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7.</w:t>
            </w:r>
          </w:p>
        </w:tc>
        <w:tc>
          <w:tcPr>
            <w:tcW w:w="1349"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14</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10/4</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5</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3/2</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780" w:hRule="atLeast"/>
        </w:trPr>
        <w:tc>
          <w:tcPr>
            <w:tcW w:w="84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93"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8.</w:t>
            </w:r>
          </w:p>
        </w:tc>
        <w:tc>
          <w:tcPr>
            <w:tcW w:w="1349"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7</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5/2</w:t>
            </w:r>
          </w:p>
        </w:tc>
        <w:tc>
          <w:tcPr>
            <w:tcW w:w="1407"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4</w:t>
            </w:r>
          </w:p>
        </w:tc>
        <w:tc>
          <w:tcPr>
            <w:tcW w:w="1125" w:type="dxa"/>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3/1</w:t>
            </w:r>
          </w:p>
        </w:tc>
        <w:tc>
          <w:tcPr>
            <w:tcW w:w="2251" w:type="dxa"/>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686" w:hRule="atLeast"/>
        </w:trPr>
        <w:tc>
          <w:tcPr>
            <w:tcW w:w="842" w:type="dxa"/>
            <w:vMerge w:val="continue"/>
            <w:tcBorders>
              <w:top w:val="single" w:sz="4" w:space="0" w:color="000000"/>
              <w:left w:val="double" w:sz="4" w:space="0" w:color="000000"/>
              <w:bottom w:val="doub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893" w:type="dxa"/>
            <w:gridSpan w:val="3"/>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9.</w:t>
            </w:r>
          </w:p>
        </w:tc>
        <w:tc>
          <w:tcPr>
            <w:tcW w:w="1349" w:type="dxa"/>
            <w:tcBorders>
              <w:top w:val="sing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10</w:t>
            </w:r>
          </w:p>
        </w:tc>
        <w:tc>
          <w:tcPr>
            <w:tcW w:w="1125" w:type="dxa"/>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8/2</w:t>
            </w:r>
          </w:p>
        </w:tc>
        <w:tc>
          <w:tcPr>
            <w:tcW w:w="1407" w:type="dxa"/>
            <w:tcBorders>
              <w:top w:val="sing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w:t>
            </w:r>
          </w:p>
        </w:tc>
        <w:tc>
          <w:tcPr>
            <w:tcW w:w="1125" w:type="dxa"/>
            <w:tcBorders>
              <w:top w:val="sing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2/0</w:t>
            </w:r>
          </w:p>
        </w:tc>
        <w:tc>
          <w:tcPr>
            <w:tcW w:w="2251" w:type="dxa"/>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r>
      <w:tr>
        <w:trPr>
          <w:trHeight w:val="631" w:hRule="atLeast"/>
        </w:trPr>
        <w:tc>
          <w:tcPr>
            <w:tcW w:w="1735" w:type="dxa"/>
            <w:gridSpan w:val="4"/>
            <w:tcBorders>
              <w:top w:val="double" w:sz="4" w:space="0" w:color="000000"/>
              <w:left w:val="double" w:sz="4" w:space="0" w:color="000000"/>
              <w:bottom w:val="double" w:sz="4" w:space="0" w:color="000000"/>
              <w:right w:val="double" w:sz="4" w:space="0" w:color="000000"/>
            </w:tcBorders>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Spolu II. st.</w:t>
            </w:r>
          </w:p>
        </w:tc>
        <w:tc>
          <w:tcPr>
            <w:tcW w:w="1349"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58</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43/15</w:t>
            </w:r>
          </w:p>
        </w:tc>
        <w:tc>
          <w:tcPr>
            <w:tcW w:w="1407"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17</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11/6</w:t>
            </w:r>
          </w:p>
        </w:tc>
        <w:tc>
          <w:tcPr>
            <w:tcW w:w="2251" w:type="dxa"/>
            <w:tcBorders>
              <w:top w:val="doub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712" w:hRule="atLeast"/>
        </w:trPr>
        <w:tc>
          <w:tcPr>
            <w:tcW w:w="1735" w:type="dxa"/>
            <w:gridSpan w:val="4"/>
            <w:tcBorders>
              <w:top w:val="double" w:sz="4" w:space="0" w:color="000000"/>
              <w:left w:val="double" w:sz="4" w:space="0" w:color="000000"/>
              <w:bottom w:val="double" w:sz="4" w:space="0" w:color="000000"/>
              <w:right w:val="double" w:sz="4" w:space="0" w:color="000000"/>
            </w:tcBorders>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SPOLU:</w:t>
            </w:r>
          </w:p>
        </w:tc>
        <w:tc>
          <w:tcPr>
            <w:tcW w:w="1349"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80</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57/23</w:t>
            </w:r>
          </w:p>
        </w:tc>
        <w:tc>
          <w:tcPr>
            <w:tcW w:w="1407"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22</w:t>
            </w:r>
          </w:p>
        </w:tc>
        <w:tc>
          <w:tcPr>
            <w:tcW w:w="1125"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13/9</w:t>
            </w:r>
          </w:p>
        </w:tc>
        <w:tc>
          <w:tcPr>
            <w:tcW w:w="2251" w:type="dxa"/>
            <w:tcBorders>
              <w:top w:val="doub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804" w:hRule="atLeast"/>
        </w:trPr>
        <w:tc>
          <w:tcPr>
            <w:tcW w:w="8992" w:type="dxa"/>
            <w:gridSpan w:val="9"/>
            <w:tcBorders>
              <w:top w:val="single" w:sz="4" w:space="0" w:color="000000"/>
              <w:left w:val="double" w:sz="4" w:space="0" w:color="000000"/>
              <w:bottom w:val="double" w:sz="4" w:space="0" w:color="000000"/>
              <w:right w:val="double" w:sz="4" w:space="0" w:color="000000"/>
            </w:tcBorders>
          </w:tcPr>
          <w:p>
            <w:pPr>
              <w:pStyle w:val="Normal"/>
              <w:widowControl w:val="false"/>
              <w:spacing w:lineRule="auto" w:line="240" w:before="0" w:after="200"/>
              <w:ind w:left="-365" w:right="-496" w:firstLine="365"/>
              <w:rPr>
                <w:rFonts w:ascii="Times New Roman" w:hAnsi="Times New Roman" w:cs="Times New Roman"/>
                <w:b/>
                <w:b/>
                <w:sz w:val="24"/>
                <w:szCs w:val="24"/>
              </w:rPr>
            </w:pPr>
            <w:r>
              <w:rPr>
                <w:rFonts w:cs="Times New Roman" w:ascii="Times New Roman" w:hAnsi="Times New Roman"/>
                <w:b/>
                <w:sz w:val="24"/>
                <w:szCs w:val="24"/>
              </w:rPr>
              <w:t>V evidencii spolu:  102 žiakov (70 CH/ 32 D) + 2 žiaci zo SZP (1 CH/ 1 D) 7.B a 3.C</w:t>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rPr>
          <w:rFonts w:ascii="Times New Roman" w:hAnsi="Times New Roman" w:cs="Times New Roman"/>
          <w:color w:val="FF0000"/>
          <w:sz w:val="24"/>
          <w:szCs w:val="24"/>
        </w:rPr>
      </w:pPr>
      <w:r>
        <w:rPr>
          <w:rFonts w:cs="Times New Roman" w:ascii="Times New Roman" w:hAnsi="Times New Roman"/>
          <w:sz w:val="24"/>
          <w:szCs w:val="24"/>
        </w:rPr>
        <w:t>Počet žiakov so ŠVVP sa počas školského roka priebežne menil. Do konca šk. roka 2022/23 sa stav žiakov so ŠVVP zvýšil o 12 žiakov.</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 šk. roku 2022/23 zákonní zástupcovia požiadali o:</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oslobodenie od klasifikácie CUJ – 18 žiakov,</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oslobodenie od klasifikácie iných predmetov – 1 žiačka,</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oslobodenie od výučby HUV, TSV – 5 žiakov,</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oslobodenie od účasti na posledných a iných vyučovacích hodinách – 5 žiakov,</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 prehodnotenie formy vzdelávania/ zrušenie školskej integrácie – 2 žiaci.</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 školskom roku 2022/23 prebiehlo:</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reedukácií: 140,</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intervencií nežiaduceho správania žiaka: 26,</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konzultácií so zákonnými zástupcami: 154,</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individuálnych konzultácií s pedagógmi: 289,</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frontálnych konzultácií s pedagógmi: 20,</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konzultácií s poradenskými zariadeniami: 121,</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konzultácií s vychovávateľkami ŠKD, učiteľkami MŠ: priebežne podľa potreby,</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konzultácií s asistentmi pedagóga: priebežne podľa potreby,</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hodín predmetu Rozvoj špecifických funkcií: 345.</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Žiaci sa individuálnych intervencií so ŠŠP zúčastňovali pravidelne podľa rozvrhu hodín. Všetky špeciálno – pedagogické metódy a formy realizované so žiakmi smerovali k ľahšiemu prekonávaniu konfrontácie s vlastným neúspechom a k vyrovnávaniu podmienok vzdelávania so skupinou intaktných žiakov. </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Počas celého školského roka ŠŠP konzultoval špecifiká vzdelávacieho procesu s vyučujúcimi jednotlivých predmetov, s triednymi učiteľmi, so zákonnými zástupcami osobne alebo telefonicky. Starostlivosť o žiakov so ŠVVP je tímová kooperatívna práca, preto práca ŠŠP mala počas školského roka široký záber pôsobenia. ŠŠP pravidelne konzultoval so zariadeniami špeciálno – pedagogického poradenstva a prevencie, so psychológmi, špeciálnymi pedagógmi a logopédmi. Prioritou celého snaženia učiteľ – žiak – rodič je zabezpečenie optimálneho osobnostného vývinu dieťaťa podľa jeho možností a schopností s akceptovaním druhu a stupňa postihnutia.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ŠŠP v školskom roku 2022/23 plnil nasledovné </w:t>
      </w:r>
    </w:p>
    <w:p>
      <w:pPr>
        <w:pStyle w:val="Normal"/>
        <w:spacing w:lineRule="auto" w:line="240" w:before="0" w:after="0"/>
        <w:jc w:val="both"/>
        <w:rPr>
          <w:rFonts w:ascii="Times New Roman" w:hAnsi="Times New Roman" w:cs="Times New Roman"/>
          <w:color w:val="548DD4" w:themeColor="text2" w:themeTint="99"/>
          <w:sz w:val="24"/>
          <w:szCs w:val="24"/>
        </w:rPr>
      </w:pPr>
      <w:r>
        <w:rPr>
          <w:rFonts w:cs="Times New Roman" w:ascii="Times New Roman" w:hAnsi="Times New Roman"/>
          <w:i/>
          <w:color w:val="548DD4" w:themeColor="text2" w:themeTint="99"/>
          <w:sz w:val="24"/>
          <w:szCs w:val="24"/>
        </w:rPr>
        <w:t>a)</w:t>
      </w:r>
      <w:r>
        <w:rPr>
          <w:rFonts w:cs="Times New Roman" w:ascii="Times New Roman" w:hAnsi="Times New Roman"/>
          <w:color w:val="548DD4" w:themeColor="text2" w:themeTint="99"/>
          <w:sz w:val="24"/>
          <w:szCs w:val="24"/>
        </w:rPr>
        <w:t xml:space="preserve"> </w:t>
      </w:r>
      <w:r>
        <w:rPr>
          <w:rFonts w:cs="Times New Roman" w:ascii="Times New Roman" w:hAnsi="Times New Roman"/>
          <w:i/>
          <w:color w:val="548DD4" w:themeColor="text2" w:themeTint="99"/>
          <w:sz w:val="24"/>
          <w:szCs w:val="24"/>
        </w:rPr>
        <w:t>priebežné úlohy a činnosti</w:t>
      </w:r>
      <w:r>
        <w:rPr>
          <w:rFonts w:cs="Times New Roman" w:ascii="Times New Roman" w:hAnsi="Times New Roman"/>
          <w:color w:val="548DD4" w:themeColor="text2" w:themeTint="99"/>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prijatie žiakov so zdravotným znevýhodnením do ZŠ s MŠ,</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spolupráca ŠŠP s vedením školy, triednymi učiteľmi, predmetovými vyučujúcimi, vychovávateľkami, asistentmi učiteľa a so zariadeniami poradenstva a prevencie,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organizácia práce vo v – v procese,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výchovno – terapeutické úlohy,</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spolupráca s rodičmi žiakov so ŠVVP,</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príprava korekčných a kompenzačných pomôcok,</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informovanie pedagogických zamestnancov na pracovných a klasifikačných poradách ohľadom legislatívy a procesu vzdelávania žiakov so ŠVVP,</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odborný rast a iné.</w:t>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i/>
          <w:color w:val="548DD4" w:themeColor="text2" w:themeTint="99"/>
          <w:sz w:val="24"/>
          <w:szCs w:val="24"/>
        </w:rPr>
        <w:t>b) stále úlohy a činnosti</w:t>
      </w:r>
      <w:r>
        <w:rPr>
          <w:rFonts w:cs="Times New Roman" w:ascii="Times New Roman" w:hAnsi="Times New Roman"/>
          <w:b/>
          <w:color w:val="548DD4" w:themeColor="text2" w:themeTint="99"/>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intervencie a Rozvoj špecifických funkcií žiakov 1. - 5. ročníka,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intervencie a korekcie nežiaducich foriem správania, </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sledovanie kalendára termínov rediagnostických vyšetrení a v spolupráci s vyučujúcimi kompletizovanie prihlášok na špeciálno – pedagogické a psychologické vyšetrenia,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poskytovanie poradenskej činnosti zákonným zástupcom žiakov so ŠVVP s cieľom dosiahnuť optimálne výsledky vo výchovno – vzdelávacom procese a informovanie o špeciálno – pedagogických postupoch v práci so žiakmi, budovanie pozitívnej interakcie s rodičmi žiaka, snaha o dobrú spoluprácu,</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informovanie pedagogických zamestnancov a asistentov o platných predpisoch, zákonoch, nariadeniach a usmerneniach,</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organizovanie a zúčastňovanie sa na MZ AU, usmerňovanie asistentov učiteľa pri aplikácii metodických postupov pri vzdelávaní žiakov so ŠVVP, konzultácie s triednymi učiteľmi,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informovanie pedagogických zamestnancov o novointegrovaných žiakoch a o uplatňovaní odporúčaní z poradenských zariadení,</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štúdium odbornej literatúry, časopisov, internetových odborných stránok, účasť na webinároch k integrácii, inklúzii a práce so žiakmi so ŠVVP,</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v spolupráci s NIVAM, organizovanie psychologických a logopedických intervencií na škole pre žiakov z Ukrajiny,</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nákup a vyhotovovanie korekčných pomôcok, príprava pracovných listov,</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spolupráca s odbornými zamestnancami SCPP, CPP, NIVAM a výchovným poradcom,</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spolupráca so všetkými zainteresovanými, ktorí sa akoukoľvek formou podieľajú na edukačnom a výchovnom procese žiakov so ŠVVP.</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Ďakujem pani riaditeľke a vedeniu školy za vytváranie optimálnych a priaznivých pracovných podmienok pre prácu so žiakmi so zdravotným znevýhodnením, za podporu a ústretový prístup pri vytváraní efektívneho systému pomoci žiakom so ŠVVP. </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Taktiež ďakujem všetkým pedagogickým zamestnancom za ich prácu, spoluprácu, ochotu a profesionálny prístup k vytváraniu pozitívnej atmosféry vo vzdelávacom procese na našej škole. </w:t>
      </w:r>
    </w:p>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both"/>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tbl>
      <w:tblPr>
        <w:tblStyle w:val="Mriekatabuky"/>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c>
          <w:tcPr>
            <w:tcW w:w="9889" w:type="dxa"/>
            <w:tcBorders/>
            <w:shd w:color="auto" w:fill="548DD4" w:themeFill="text2" w:themeFillTint="99" w:val="clear"/>
          </w:tcPr>
          <w:p>
            <w:pPr>
              <w:pStyle w:val="Normal"/>
              <w:widowControl/>
              <w:spacing w:lineRule="auto" w:line="240" w:before="0" w:after="0"/>
              <w:jc w:val="center"/>
              <w:rPr>
                <w:rFonts w:eastAsia="Arial"/>
                <w:color w:val="000000"/>
                <w:sz w:val="24"/>
                <w:szCs w:val="24"/>
                <w:lang w:eastAsia="ar-SA"/>
              </w:rPr>
            </w:pPr>
            <w:r>
              <w:rPr>
                <w:rFonts w:cs="Times New Roman" w:ascii="Times New Roman" w:hAnsi="Times New Roman"/>
                <w:b/>
                <w:kern w:val="0"/>
                <w:sz w:val="24"/>
                <w:szCs w:val="24"/>
                <w:lang w:val="sk-SK" w:eastAsia="sk-SK" w:bidi="ar-SA"/>
              </w:rPr>
              <w:t>Údaje o školskom klube detí</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99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167"/>
        <w:gridCol w:w="807"/>
        <w:gridCol w:w="1007"/>
        <w:gridCol w:w="980"/>
        <w:gridCol w:w="994"/>
        <w:gridCol w:w="1294"/>
        <w:gridCol w:w="840"/>
        <w:gridCol w:w="1747"/>
        <w:gridCol w:w="1133"/>
      </w:tblGrid>
      <w:tr>
        <w:trPr>
          <w:trHeight w:val="569" w:hRule="atLeast"/>
        </w:trPr>
        <w:tc>
          <w:tcPr>
            <w:tcW w:w="11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Šk. rok</w:t>
            </w:r>
          </w:p>
        </w:tc>
        <w:tc>
          <w:tcPr>
            <w:tcW w:w="80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žiaci</w:t>
            </w:r>
          </w:p>
        </w:tc>
        <w:tc>
          <w:tcPr>
            <w:tcW w:w="100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w:t>
            </w:r>
          </w:p>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oddelení</w:t>
            </w:r>
          </w:p>
        </w:tc>
        <w:tc>
          <w:tcPr>
            <w:tcW w:w="980"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priemer</w:t>
            </w:r>
          </w:p>
        </w:tc>
        <w:tc>
          <w:tcPr>
            <w:tcW w:w="994"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krúžky v ŠKD</w:t>
            </w:r>
          </w:p>
        </w:tc>
        <w:tc>
          <w:tcPr>
            <w:tcW w:w="1294"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žiakov</w:t>
            </w:r>
          </w:p>
        </w:tc>
        <w:tc>
          <w:tcPr>
            <w:tcW w:w="840"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174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Prepočítaný stav</w:t>
            </w:r>
          </w:p>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zamestnancov</w:t>
            </w:r>
          </w:p>
        </w:tc>
        <w:tc>
          <w:tcPr>
            <w:tcW w:w="1133"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 xml:space="preserve"> </w:t>
            </w:r>
            <w:r>
              <w:rPr>
                <w:rFonts w:eastAsia="Times New Roman" w:cs="Times New Roman" w:ascii="Times New Roman" w:hAnsi="Times New Roman"/>
                <w:b/>
                <w:bCs/>
                <w:i/>
                <w:color w:val="1F497D" w:themeColor="text2"/>
                <w:sz w:val="24"/>
                <w:szCs w:val="24"/>
                <w:lang w:eastAsia="cs-CZ"/>
              </w:rPr>
              <w:t>Fyzický stav</w:t>
            </w:r>
          </w:p>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2005/2006</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130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26</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48</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37%</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2006/2007</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29</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51</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35%</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2007/2008</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146</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29,2</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80</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54,7%</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2008/2009</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24,2</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98</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67,6%</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2009/2010</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43,1%</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2010/2011</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43,2%</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2011/2012</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149</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24,83</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75</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50,3%</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2012/2013</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175</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29,17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75</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42,86</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2013/2014</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150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81</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54%</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2014/2015</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112</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62,22</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2015/2016</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33,33</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2016/2017</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190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31,6</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31,57</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2017/2018</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78</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43,33</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2018/2019</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33,7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92</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45,55</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2019/2020</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33,5</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72</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35,8</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2020/2021</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204</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34</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79</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38,7</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2021/2022</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201</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33,5</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77</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38,3</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r>
        <w:trPr/>
        <w:tc>
          <w:tcPr>
            <w:tcW w:w="11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2022/2023</w:t>
            </w:r>
          </w:p>
        </w:tc>
        <w:tc>
          <w:tcPr>
            <w:tcW w:w="8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226</w:t>
            </w:r>
          </w:p>
        </w:tc>
        <w:tc>
          <w:tcPr>
            <w:tcW w:w="10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37,6</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72</w:t>
            </w:r>
          </w:p>
        </w:tc>
        <w:tc>
          <w:tcPr>
            <w:tcW w:w="8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31,8</w:t>
            </w:r>
          </w:p>
        </w:tc>
        <w:tc>
          <w:tcPr>
            <w:tcW w:w="17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r>
    </w:tbl>
    <w:p>
      <w:pPr>
        <w:pStyle w:val="Normal"/>
        <w:keepNext w:val="true"/>
        <w:numPr>
          <w:ilvl w:val="0"/>
          <w:numId w:val="0"/>
        </w:numPr>
        <w:spacing w:lineRule="auto" w:line="240" w:before="0" w:after="0"/>
        <w:ind w:left="360" w:hanging="0"/>
        <w:jc w:val="both"/>
        <w:outlineLvl w:val="0"/>
        <w:rPr>
          <w:rFonts w:ascii="Times New Roman" w:hAnsi="Times New Roman" w:eastAsia="Arial Unicode MS" w:cs="Times New Roman"/>
          <w:b/>
          <w:b/>
          <w:bCs/>
          <w:color w:val="00B050"/>
          <w:sz w:val="24"/>
          <w:szCs w:val="24"/>
          <w:lang w:eastAsia="cs-CZ"/>
        </w:rPr>
      </w:pPr>
      <w:r>
        <w:rPr>
          <w:rFonts w:eastAsia="Arial Unicode MS" w:cs="Times New Roman" w:ascii="Times New Roman" w:hAnsi="Times New Roman"/>
          <w:b/>
          <w:bCs/>
          <w:color w:val="00B050"/>
          <w:sz w:val="24"/>
          <w:szCs w:val="24"/>
          <w:lang w:eastAsia="cs-CZ"/>
        </w:rPr>
      </w:r>
    </w:p>
    <w:p>
      <w:pPr>
        <w:pStyle w:val="Normal"/>
        <w:keepNext w:val="true"/>
        <w:numPr>
          <w:ilvl w:val="0"/>
          <w:numId w:val="0"/>
        </w:numPr>
        <w:spacing w:lineRule="auto" w:line="240" w:before="0" w:after="0"/>
        <w:ind w:left="360" w:hanging="0"/>
        <w:jc w:val="both"/>
        <w:outlineLvl w:val="0"/>
        <w:rPr>
          <w:rFonts w:ascii="Times New Roman" w:hAnsi="Times New Roman" w:eastAsia="Arial Unicode MS" w:cs="Times New Roman"/>
          <w:b/>
          <w:b/>
          <w:bCs/>
          <w:color w:val="00B050"/>
          <w:sz w:val="24"/>
          <w:szCs w:val="24"/>
          <w:lang w:eastAsia="cs-CZ"/>
        </w:rPr>
      </w:pPr>
      <w:r>
        <w:rPr/>
        <w:drawing>
          <wp:inline distT="0" distB="0" distL="0" distR="0">
            <wp:extent cx="4572000" cy="2743200"/>
            <wp:effectExtent l="0" t="0" r="0" b="0"/>
            <wp:docPr id="66"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pPr>
        <w:pStyle w:val="Normal"/>
        <w:keepNext w:val="true"/>
        <w:numPr>
          <w:ilvl w:val="0"/>
          <w:numId w:val="0"/>
        </w:numPr>
        <w:spacing w:lineRule="auto" w:line="240" w:before="0" w:after="0"/>
        <w:ind w:left="360" w:hanging="0"/>
        <w:jc w:val="both"/>
        <w:outlineLvl w:val="0"/>
        <w:rPr>
          <w:rFonts w:ascii="Times New Roman" w:hAnsi="Times New Roman" w:eastAsia="Arial Unicode MS" w:cs="Times New Roman"/>
          <w:b/>
          <w:b/>
          <w:bCs/>
          <w:color w:val="00B050"/>
          <w:sz w:val="24"/>
          <w:szCs w:val="24"/>
          <w:lang w:eastAsia="cs-CZ"/>
        </w:rPr>
      </w:pPr>
      <w:r>
        <w:rPr>
          <w:rFonts w:eastAsia="Arial Unicode MS" w:cs="Times New Roman" w:ascii="Times New Roman" w:hAnsi="Times New Roman"/>
          <w:b/>
          <w:bCs/>
          <w:color w:val="00B050"/>
          <w:sz w:val="24"/>
          <w:szCs w:val="24"/>
          <w:lang w:eastAsia="cs-CZ"/>
        </w:rPr>
      </w:r>
    </w:p>
    <w:p>
      <w:pPr>
        <w:pStyle w:val="Normal"/>
        <w:keepNext w:val="true"/>
        <w:numPr>
          <w:ilvl w:val="0"/>
          <w:numId w:val="0"/>
        </w:numPr>
        <w:spacing w:lineRule="auto" w:line="240" w:before="0" w:after="0"/>
        <w:jc w:val="both"/>
        <w:outlineLvl w:val="0"/>
        <w:rPr>
          <w:rFonts w:ascii="Times New Roman" w:hAnsi="Times New Roman" w:eastAsia="Arial Unicode MS" w:cs="Times New Roman"/>
          <w:b/>
          <w:b/>
          <w:bCs/>
          <w:i/>
          <w:i/>
          <w:sz w:val="24"/>
          <w:szCs w:val="24"/>
          <w:lang w:eastAsia="cs-CZ"/>
        </w:rPr>
      </w:pPr>
      <w:r>
        <w:rPr>
          <w:rFonts w:eastAsia="Arial Unicode MS" w:cs="Times New Roman" w:ascii="Times New Roman" w:hAnsi="Times New Roman"/>
          <w:b/>
          <w:bCs/>
          <w:i/>
          <w:sz w:val="24"/>
          <w:szCs w:val="24"/>
          <w:lang w:eastAsia="cs-CZ"/>
        </w:rPr>
      </w:r>
    </w:p>
    <w:p>
      <w:pPr>
        <w:pStyle w:val="Normal"/>
        <w:keepNext w:val="true"/>
        <w:numPr>
          <w:ilvl w:val="0"/>
          <w:numId w:val="0"/>
        </w:numPr>
        <w:spacing w:lineRule="auto" w:line="240" w:before="0" w:after="0"/>
        <w:jc w:val="both"/>
        <w:outlineLvl w:val="0"/>
        <w:rPr>
          <w:rFonts w:ascii="Times New Roman" w:hAnsi="Times New Roman" w:eastAsia="Arial Unicode MS" w:cs="Times New Roman"/>
          <w:b/>
          <w:b/>
          <w:bCs/>
          <w:i/>
          <w:i/>
          <w:color w:val="FF0000"/>
          <w:sz w:val="24"/>
          <w:szCs w:val="24"/>
          <w:lang w:eastAsia="cs-CZ"/>
        </w:rPr>
      </w:pPr>
      <w:r>
        <w:rPr>
          <w:rFonts w:eastAsia="Arial Unicode MS" w:cs="Times New Roman" w:ascii="Times New Roman" w:hAnsi="Times New Roman"/>
          <w:b/>
          <w:bCs/>
          <w:i/>
          <w:sz w:val="24"/>
          <w:szCs w:val="24"/>
          <w:lang w:eastAsia="cs-CZ"/>
        </w:rPr>
        <w:t>Počet krúžkov v škole</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921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25"/>
        <w:gridCol w:w="2280"/>
        <w:gridCol w:w="2307"/>
        <w:gridCol w:w="2299"/>
      </w:tblGrid>
      <w:tr>
        <w:trPr/>
        <w:tc>
          <w:tcPr>
            <w:tcW w:w="2325"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color w:val="0070C0"/>
                <w:sz w:val="24"/>
                <w:szCs w:val="24"/>
                <w:lang w:eastAsia="cs-CZ"/>
              </w:rPr>
            </w:pPr>
            <w:r>
              <w:rPr>
                <w:rFonts w:eastAsia="Times New Roman" w:cs="Times New Roman" w:ascii="Times New Roman" w:hAnsi="Times New Roman"/>
                <w:b/>
                <w:bCs/>
                <w:color w:val="0070C0"/>
                <w:sz w:val="24"/>
                <w:szCs w:val="24"/>
                <w:lang w:eastAsia="cs-CZ"/>
              </w:rPr>
            </w:r>
          </w:p>
        </w:tc>
        <w:tc>
          <w:tcPr>
            <w:tcW w:w="2280"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 krúžkov</w:t>
            </w:r>
          </w:p>
        </w:tc>
        <w:tc>
          <w:tcPr>
            <w:tcW w:w="230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žiakov v krúžokoch</w:t>
            </w:r>
          </w:p>
        </w:tc>
        <w:tc>
          <w:tcPr>
            <w:tcW w:w="2299"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 zapojenia</w:t>
            </w:r>
          </w:p>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žiakov</w:t>
            </w:r>
          </w:p>
        </w:tc>
      </w:tr>
      <w:tr>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 4. ročník</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5</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63</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C00000"/>
                <w:sz w:val="24"/>
                <w:szCs w:val="24"/>
                <w:lang w:eastAsia="cs-CZ"/>
              </w:rPr>
            </w:pPr>
            <w:r>
              <w:rPr>
                <w:rFonts w:eastAsia="Times New Roman" w:cs="Times New Roman" w:ascii="Times New Roman" w:hAnsi="Times New Roman"/>
                <w:sz w:val="24"/>
                <w:szCs w:val="24"/>
                <w:lang w:eastAsia="cs-CZ"/>
              </w:rPr>
              <w:t>26,03%</w:t>
            </w:r>
          </w:p>
        </w:tc>
      </w:tr>
      <w:tr>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5. – 9. ročník</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11</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189</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C00000"/>
                <w:sz w:val="24"/>
                <w:szCs w:val="24"/>
                <w:lang w:eastAsia="cs-CZ"/>
              </w:rPr>
            </w:pPr>
            <w:r>
              <w:rPr>
                <w:rFonts w:eastAsia="Times New Roman" w:cs="Times New Roman" w:ascii="Times New Roman" w:hAnsi="Times New Roman"/>
                <w:sz w:val="24"/>
                <w:szCs w:val="24"/>
                <w:lang w:eastAsia="cs-CZ"/>
              </w:rPr>
              <w:t>49,74%</w:t>
            </w:r>
          </w:p>
        </w:tc>
      </w:tr>
      <w:tr>
        <w:trPr>
          <w:trHeight w:val="303" w:hRule="atLeast"/>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ŠKD</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6</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72</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525" w:leader="none"/>
                <w:tab w:val="center" w:pos="1080" w:leader="none"/>
              </w:tabs>
              <w:spacing w:lineRule="auto" w:line="240" w:before="0" w:after="0"/>
              <w:rPr>
                <w:rFonts w:ascii="Times New Roman" w:hAnsi="Times New Roman" w:eastAsia="Times New Roman" w:cs="Times New Roman"/>
                <w:color w:val="C00000"/>
                <w:sz w:val="24"/>
                <w:szCs w:val="24"/>
                <w:lang w:eastAsia="cs-CZ"/>
              </w:rPr>
            </w:pPr>
            <w:r>
              <w:rPr>
                <w:rFonts w:eastAsia="Times New Roman" w:cs="Times New Roman" w:ascii="Times New Roman" w:hAnsi="Times New Roman"/>
                <w:color w:val="C00000"/>
                <w:sz w:val="24"/>
                <w:szCs w:val="24"/>
                <w:lang w:eastAsia="cs-CZ"/>
              </w:rPr>
              <w:tab/>
              <w:tab/>
            </w:r>
            <w:r>
              <w:rPr>
                <w:rFonts w:eastAsia="Times New Roman" w:cs="Times New Roman" w:ascii="Times New Roman" w:hAnsi="Times New Roman"/>
                <w:sz w:val="24"/>
                <w:szCs w:val="24"/>
                <w:lang w:eastAsia="cs-CZ"/>
              </w:rPr>
              <w:t>31,85%</w:t>
            </w:r>
          </w:p>
        </w:tc>
      </w:tr>
      <w:tr>
        <w:trPr>
          <w:trHeight w:val="303" w:hRule="atLeast"/>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CVČ ĽH</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5</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82</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525" w:leader="none"/>
                <w:tab w:val="center" w:pos="1080" w:leader="none"/>
              </w:tabs>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r>
        <w:trPr>
          <w:trHeight w:val="303" w:hRule="atLeast"/>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CVČ Judo</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17</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525" w:leader="none"/>
                <w:tab w:val="center" w:pos="1080" w:leader="none"/>
              </w:tabs>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r>
        <w:trPr>
          <w:trHeight w:val="303" w:hRule="atLeast"/>
        </w:trPr>
        <w:tc>
          <w:tcPr>
            <w:tcW w:w="23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CVČ modelársky</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w:t>
            </w:r>
          </w:p>
        </w:tc>
        <w:tc>
          <w:tcPr>
            <w:tcW w:w="23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w:t>
            </w:r>
          </w:p>
        </w:tc>
        <w:tc>
          <w:tcPr>
            <w:tcW w:w="229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525" w:leader="none"/>
                <w:tab w:val="center" w:pos="1080" w:leader="none"/>
              </w:tabs>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b/>
          <w:b/>
          <w:bCs/>
          <w:i/>
          <w:i/>
          <w:sz w:val="24"/>
          <w:szCs w:val="24"/>
          <w:lang w:eastAsia="cs-CZ"/>
        </w:rPr>
      </w:pPr>
      <w:r>
        <w:rPr>
          <w:rFonts w:eastAsia="Times New Roman" w:cs="Times New Roman" w:ascii="Times New Roman" w:hAnsi="Times New Roman"/>
          <w:b/>
          <w:bCs/>
          <w:i/>
          <w:sz w:val="24"/>
          <w:szCs w:val="24"/>
          <w:lang w:eastAsia="cs-CZ"/>
        </w:rPr>
        <w:t>Počet</w:t>
      </w:r>
      <w:r>
        <w:rPr>
          <w:rFonts w:eastAsia="Times New Roman" w:cs="Times New Roman" w:ascii="Times New Roman" w:hAnsi="Times New Roman"/>
          <w:b/>
          <w:bCs/>
          <w:i/>
          <w:color w:val="FF0000"/>
          <w:sz w:val="24"/>
          <w:szCs w:val="24"/>
          <w:lang w:eastAsia="cs-CZ"/>
        </w:rPr>
        <w:t xml:space="preserve"> </w:t>
      </w:r>
      <w:r>
        <w:rPr>
          <w:rFonts w:eastAsia="Times New Roman" w:cs="Times New Roman" w:ascii="Times New Roman" w:hAnsi="Times New Roman"/>
          <w:b/>
          <w:bCs/>
          <w:i/>
          <w:sz w:val="24"/>
          <w:szCs w:val="24"/>
          <w:lang w:eastAsia="cs-CZ"/>
        </w:rPr>
        <w:t>tried v školskom roku 2022/2023</w:t>
      </w:r>
    </w:p>
    <w:p>
      <w:pPr>
        <w:pStyle w:val="Normal"/>
        <w:spacing w:lineRule="auto" w:line="240" w:before="0" w:after="0"/>
        <w:rPr>
          <w:rFonts w:ascii="Times New Roman" w:hAnsi="Times New Roman" w:eastAsia="Times New Roman" w:cs="Times New Roman"/>
          <w:i/>
          <w:i/>
          <w:color w:val="1F497D" w:themeColor="text2"/>
          <w:sz w:val="24"/>
          <w:szCs w:val="24"/>
          <w:lang w:eastAsia="cs-CZ"/>
        </w:rPr>
      </w:pPr>
      <w:r>
        <w:rPr>
          <w:rFonts w:eastAsia="Times New Roman" w:cs="Times New Roman" w:ascii="Times New Roman" w:hAnsi="Times New Roman"/>
          <w:i/>
          <w:color w:val="1F497D" w:themeColor="text2"/>
          <w:sz w:val="24"/>
          <w:szCs w:val="24"/>
          <w:lang w:eastAsia="cs-CZ"/>
        </w:rPr>
      </w:r>
    </w:p>
    <w:tbl>
      <w:tblPr>
        <w:tblW w:w="928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621"/>
        <w:gridCol w:w="710"/>
        <w:gridCol w:w="567"/>
        <w:gridCol w:w="707"/>
        <w:gridCol w:w="710"/>
        <w:gridCol w:w="567"/>
        <w:gridCol w:w="566"/>
        <w:gridCol w:w="709"/>
        <w:gridCol w:w="568"/>
        <w:gridCol w:w="708"/>
        <w:gridCol w:w="849"/>
      </w:tblGrid>
      <w:tr>
        <w:trPr/>
        <w:tc>
          <w:tcPr>
            <w:tcW w:w="2621"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Ročník</w:t>
            </w:r>
          </w:p>
        </w:tc>
        <w:tc>
          <w:tcPr>
            <w:tcW w:w="71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1.</w:t>
            </w:r>
          </w:p>
        </w:tc>
        <w:tc>
          <w:tcPr>
            <w:tcW w:w="56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2.</w:t>
            </w:r>
          </w:p>
        </w:tc>
        <w:tc>
          <w:tcPr>
            <w:tcW w:w="70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3.</w:t>
            </w:r>
          </w:p>
        </w:tc>
        <w:tc>
          <w:tcPr>
            <w:tcW w:w="710"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4.</w:t>
            </w:r>
          </w:p>
        </w:tc>
        <w:tc>
          <w:tcPr>
            <w:tcW w:w="56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5.</w:t>
            </w:r>
          </w:p>
        </w:tc>
        <w:tc>
          <w:tcPr>
            <w:tcW w:w="566"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6.</w:t>
            </w:r>
          </w:p>
        </w:tc>
        <w:tc>
          <w:tcPr>
            <w:tcW w:w="709"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7.</w:t>
            </w:r>
          </w:p>
        </w:tc>
        <w:tc>
          <w:tcPr>
            <w:tcW w:w="568"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8.</w:t>
            </w:r>
          </w:p>
        </w:tc>
        <w:tc>
          <w:tcPr>
            <w:tcW w:w="708"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9.</w:t>
            </w:r>
          </w:p>
        </w:tc>
        <w:tc>
          <w:tcPr>
            <w:tcW w:w="849"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Spolu</w:t>
            </w:r>
          </w:p>
        </w:tc>
      </w:tr>
      <w:tr>
        <w:trPr/>
        <w:tc>
          <w:tcPr>
            <w:tcW w:w="2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Počet tried v ročníku</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27</w:t>
            </w:r>
          </w:p>
        </w:tc>
      </w:tr>
      <w:tr>
        <w:trPr/>
        <w:tc>
          <w:tcPr>
            <w:tcW w:w="2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So športovou prípravou</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w:t>
            </w:r>
          </w:p>
        </w:tc>
      </w:tr>
    </w:tbl>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i/>
          <w:i/>
          <w:color w:val="548DD4" w:themeColor="text2" w:themeTint="99"/>
          <w:sz w:val="24"/>
          <w:szCs w:val="24"/>
          <w:u w:val="single"/>
        </w:rPr>
      </w:pPr>
      <w:r>
        <w:rPr>
          <w:rFonts w:cs="Times New Roman" w:ascii="Times New Roman" w:hAnsi="Times New Roman"/>
          <w:b/>
          <w:i/>
          <w:color w:val="548DD4" w:themeColor="text2" w:themeTint="99"/>
          <w:sz w:val="24"/>
          <w:szCs w:val="24"/>
        </w:rPr>
        <w:t>Zoznam krúžkov na škole (všetkých)                                              Krúžky v spolupráci s CVČ</w:t>
      </w:r>
    </w:p>
    <w:tbl>
      <w:tblPr>
        <w:tblW w:w="921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589"/>
        <w:gridCol w:w="4622"/>
      </w:tblGrid>
      <w:tr>
        <w:trPr/>
        <w:tc>
          <w:tcPr>
            <w:tcW w:w="4589"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Názov krúžku - CVČ</w:t>
            </w:r>
          </w:p>
        </w:tc>
        <w:tc>
          <w:tcPr>
            <w:tcW w:w="462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Meno vedúceho</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Cvičenia zo SJL</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Danka Zašiurová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Cvičenia zo SJL</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Valéria Semanišínová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CVČ ľadový hokej</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Reviľák Tomáš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CVČ Modelársky krúžok</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Švec Vladimír</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CVČ Judo</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Ján Arendáč</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Florbal</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Jozef Krochta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Zober loptu nie grogy</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Zlatica Slezáková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Prírodovedno-počítačový</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Andrea Chovanová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Virtuálny svet</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Želinská Alena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Počítačový</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Dušan Kuča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Počítačový</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Ing. Dušan Kuča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Pohrajme sa s azbukou</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Miroslava Staviarská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Počítač hrou</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Sýkorová Jana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Paleta farieb</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Priščáková Anna</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Športovo-pohybový</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Zuzana Šestáková</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Šachový krúžok</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Vladislav Novák</w:t>
            </w:r>
          </w:p>
        </w:tc>
      </w:tr>
      <w:tr>
        <w:trPr/>
        <w:tc>
          <w:tcPr>
            <w:tcW w:w="45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Tenis</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Zubrenko</w:t>
            </w:r>
          </w:p>
        </w:tc>
      </w:tr>
    </w:tbl>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sz w:val="24"/>
                <w:szCs w:val="24"/>
                <w:lang w:eastAsia="cs-CZ"/>
              </w:rPr>
            </w:pPr>
            <w:r>
              <w:rPr>
                <w:rFonts w:eastAsia="Times New Roman" w:cs="Times New Roman" w:ascii="Times New Roman" w:hAnsi="Times New Roman"/>
                <w:b/>
                <w:kern w:val="0"/>
                <w:sz w:val="24"/>
                <w:szCs w:val="24"/>
                <w:lang w:val="sk-SK" w:eastAsia="sk-SK" w:bidi="ar-SA"/>
              </w:rPr>
              <w:t>Údaje o pedagogických a nepedagogických zamestnancoch školy</w:t>
            </w:r>
          </w:p>
        </w:tc>
      </w:tr>
    </w:tbl>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2"/>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4"/>
        <w:gridCol w:w="836"/>
        <w:gridCol w:w="2283"/>
        <w:gridCol w:w="851"/>
        <w:gridCol w:w="2126"/>
        <w:gridCol w:w="881"/>
      </w:tblGrid>
      <w:tr>
        <w:trPr/>
        <w:tc>
          <w:tcPr>
            <w:tcW w:w="2234"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Základná škola</w:t>
            </w:r>
          </w:p>
        </w:tc>
        <w:tc>
          <w:tcPr>
            <w:tcW w:w="836"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Počet</w:t>
            </w:r>
          </w:p>
        </w:tc>
        <w:tc>
          <w:tcPr>
            <w:tcW w:w="2283"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Školský klub detí</w:t>
            </w:r>
          </w:p>
        </w:tc>
        <w:tc>
          <w:tcPr>
            <w:tcW w:w="851"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Počet</w:t>
            </w:r>
          </w:p>
        </w:tc>
        <w:tc>
          <w:tcPr>
            <w:tcW w:w="2126"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Materská škola</w:t>
            </w:r>
          </w:p>
        </w:tc>
        <w:tc>
          <w:tcPr>
            <w:tcW w:w="881" w:type="dxa"/>
            <w:tcBorders/>
            <w:shd w:color="auto" w:fill="8DB3E2" w:themeFill="text2" w:themeFillTint="66" w:val="clear"/>
          </w:tcPr>
          <w:p>
            <w:pPr>
              <w:pStyle w:val="Normal"/>
              <w:widowControl/>
              <w:spacing w:lineRule="auto" w:line="240" w:before="0" w:after="0"/>
              <w:jc w:val="left"/>
              <w:rPr>
                <w:rFonts w:ascii="Times New Roman" w:hAnsi="Times New Roman" w:cs="Times New Roman"/>
                <w:b/>
                <w:b/>
                <w:i/>
                <w:i/>
                <w:sz w:val="20"/>
                <w:szCs w:val="20"/>
              </w:rPr>
            </w:pPr>
            <w:r>
              <w:rPr>
                <w:rFonts w:eastAsia="Calibri" w:cs="Times New Roman" w:ascii="Times New Roman" w:hAnsi="Times New Roman"/>
                <w:b/>
                <w:i/>
                <w:kern w:val="0"/>
                <w:sz w:val="20"/>
                <w:szCs w:val="20"/>
                <w:lang w:val="sk-SK" w:eastAsia="en-US" w:bidi="ar-SA"/>
              </w:rPr>
              <w:t>Počet</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zamestnanci ZŠ – spolu</w:t>
            </w:r>
          </w:p>
        </w:tc>
        <w:tc>
          <w:tcPr>
            <w:tcW w:w="836"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65</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Zamestnanci ŠKD</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6</w:t>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Zamestnanci MŠ</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8</w:t>
            </w:r>
          </w:p>
        </w:tc>
      </w:tr>
      <w:tr>
        <w:trPr/>
        <w:tc>
          <w:tcPr>
            <w:tcW w:w="2234"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PZ</w:t>
            </w:r>
          </w:p>
        </w:tc>
        <w:tc>
          <w:tcPr>
            <w:tcW w:w="836"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46</w:t>
            </w:r>
          </w:p>
        </w:tc>
        <w:tc>
          <w:tcPr>
            <w:tcW w:w="2283"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PZ</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6</w:t>
            </w:r>
          </w:p>
        </w:tc>
        <w:tc>
          <w:tcPr>
            <w:tcW w:w="2126"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PZ</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6</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kvalifikovaní</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46</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kvalifikovaní</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6</w:t>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kvalifikovaní</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6</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nekvalifikovaní</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nekvalifikovaní</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nekvalifikovaní</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dopĺňajú si vzdelanie</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dopĺňajú si vzdelanie</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dopĺňajú si vzdelanie</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r>
      <w:tr>
        <w:trPr/>
        <w:tc>
          <w:tcPr>
            <w:tcW w:w="2234"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 </w:t>
            </w:r>
            <w:r>
              <w:rPr>
                <w:rFonts w:eastAsia="Calibri" w:cs="Times New Roman" w:ascii="Times New Roman" w:hAnsi="Times New Roman"/>
                <w:kern w:val="0"/>
                <w:sz w:val="20"/>
                <w:szCs w:val="20"/>
                <w:lang w:val="sk-SK" w:eastAsia="en-US" w:bidi="ar-SA"/>
              </w:rPr>
              <w:t>školský psychológ</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283"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NZ</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126"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NZ</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2</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školský špec. pedagóg</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1</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upratovačky</w:t>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0</w:t>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upratovačky</w:t>
            </w:r>
          </w:p>
        </w:tc>
        <w:tc>
          <w:tcPr>
            <w:tcW w:w="88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2</w:t>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asistent učiteľa</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4</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r>
        <w:trPr/>
        <w:tc>
          <w:tcPr>
            <w:tcW w:w="2234" w:type="dxa"/>
            <w:tcBorders/>
          </w:tcPr>
          <w:p>
            <w:pPr>
              <w:pStyle w:val="Normal"/>
              <w:widowControl/>
              <w:spacing w:lineRule="auto" w:line="24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Z toho NZ</w:t>
            </w:r>
          </w:p>
        </w:tc>
        <w:tc>
          <w:tcPr>
            <w:tcW w:w="836"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sk-SK" w:eastAsia="en-US" w:bidi="ar-SA"/>
              </w:rPr>
              <w:t>19</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upratovačky</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7</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školník/údržbár</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2</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THP</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2</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r>
        <w:trPr/>
        <w:tc>
          <w:tcPr>
            <w:tcW w:w="2234"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  školská jedáleň</w:t>
            </w:r>
          </w:p>
        </w:tc>
        <w:tc>
          <w:tcPr>
            <w:tcW w:w="836" w:type="dxa"/>
            <w:tcBorders/>
          </w:tcPr>
          <w:p>
            <w:pPr>
              <w:pStyle w:val="Normal"/>
              <w:widowControl/>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sk-SK" w:eastAsia="en-US" w:bidi="ar-SA"/>
              </w:rPr>
              <w:t>8</w:t>
            </w:r>
          </w:p>
        </w:tc>
        <w:tc>
          <w:tcPr>
            <w:tcW w:w="228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5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212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c>
          <w:tcPr>
            <w:tcW w:w="881"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sk-SK" w:eastAsia="en-US" w:bidi="ar-SA"/>
              </w:rPr>
            </w:r>
          </w:p>
        </w:tc>
      </w:tr>
    </w:tbl>
    <w:p>
      <w:pPr>
        <w:pStyle w:val="Normal"/>
        <w:keepNext w:val="true"/>
        <w:numPr>
          <w:ilvl w:val="0"/>
          <w:numId w:val="0"/>
        </w:numPr>
        <w:spacing w:lineRule="auto" w:line="240" w:before="0" w:after="0"/>
        <w:outlineLvl w:val="2"/>
        <w:rPr>
          <w:rFonts w:ascii="Times New Roman" w:hAnsi="Times New Roman" w:eastAsia="Arial Unicode MS" w:cs="Times New Roman"/>
          <w:b/>
          <w:b/>
          <w:bCs/>
          <w:i/>
          <w:i/>
          <w:sz w:val="24"/>
          <w:szCs w:val="24"/>
          <w:lang w:eastAsia="cs-CZ"/>
        </w:rPr>
      </w:pPr>
      <w:r>
        <w:rPr>
          <w:rFonts w:eastAsia="Arial Unicode MS" w:cs="Times New Roman" w:ascii="Times New Roman" w:hAnsi="Times New Roman"/>
          <w:b/>
          <w:bCs/>
          <w:i/>
          <w:sz w:val="24"/>
          <w:szCs w:val="24"/>
          <w:lang w:eastAsia="cs-CZ"/>
        </w:rPr>
      </w:r>
    </w:p>
    <w:p>
      <w:pPr>
        <w:pStyle w:val="Normal"/>
        <w:keepNext w:val="true"/>
        <w:numPr>
          <w:ilvl w:val="0"/>
          <w:numId w:val="0"/>
        </w:numPr>
        <w:spacing w:lineRule="auto" w:line="240" w:before="0" w:after="0"/>
        <w:outlineLvl w:val="2"/>
        <w:rPr>
          <w:rFonts w:ascii="Times New Roman" w:hAnsi="Times New Roman" w:eastAsia="Arial Unicode MS" w:cs="Times New Roman"/>
          <w:b/>
          <w:b/>
          <w:bCs/>
          <w:i/>
          <w:i/>
          <w:sz w:val="24"/>
          <w:szCs w:val="24"/>
          <w:lang w:eastAsia="cs-CZ"/>
        </w:rPr>
      </w:pPr>
      <w:r>
        <w:rPr>
          <w:rFonts w:eastAsia="Arial Unicode MS" w:cs="Times New Roman" w:ascii="Times New Roman" w:hAnsi="Times New Roman"/>
          <w:b/>
          <w:bCs/>
          <w:i/>
          <w:sz w:val="24"/>
          <w:szCs w:val="24"/>
          <w:lang w:eastAsia="cs-CZ"/>
        </w:rPr>
      </w:r>
    </w:p>
    <w:p>
      <w:pPr>
        <w:pStyle w:val="Normal"/>
        <w:keepNext w:val="true"/>
        <w:numPr>
          <w:ilvl w:val="0"/>
          <w:numId w:val="0"/>
        </w:numPr>
        <w:spacing w:lineRule="auto" w:line="240" w:before="0" w:after="0"/>
        <w:outlineLvl w:val="2"/>
        <w:rPr>
          <w:rFonts w:ascii="Times New Roman" w:hAnsi="Times New Roman" w:eastAsia="Arial Unicode MS" w:cs="Times New Roman"/>
          <w:b/>
          <w:b/>
          <w:bCs/>
          <w:i/>
          <w:i/>
          <w:sz w:val="24"/>
          <w:szCs w:val="24"/>
          <w:lang w:eastAsia="cs-CZ"/>
        </w:rPr>
      </w:pPr>
      <w:r>
        <w:rPr>
          <w:rFonts w:eastAsia="Arial Unicode MS" w:cs="Times New Roman" w:ascii="Times New Roman" w:hAnsi="Times New Roman"/>
          <w:b/>
          <w:bCs/>
          <w:i/>
          <w:sz w:val="24"/>
          <w:szCs w:val="24"/>
          <w:lang w:eastAsia="cs-CZ"/>
        </w:rPr>
        <w:t>Riadiaci zamestnanci</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943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305"/>
        <w:gridCol w:w="1308"/>
        <w:gridCol w:w="1307"/>
        <w:gridCol w:w="1367"/>
        <w:gridCol w:w="1304"/>
        <w:gridCol w:w="1313"/>
        <w:gridCol w:w="1525"/>
      </w:tblGrid>
      <w:tr>
        <w:trPr/>
        <w:tc>
          <w:tcPr>
            <w:tcW w:w="1305"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Štúdium</w:t>
            </w:r>
          </w:p>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PVPZ</w:t>
            </w:r>
          </w:p>
        </w:tc>
        <w:tc>
          <w:tcPr>
            <w:tcW w:w="1308"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Ukončené</w:t>
            </w:r>
          </w:p>
        </w:tc>
        <w:tc>
          <w:tcPr>
            <w:tcW w:w="130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Prebieha</w:t>
            </w:r>
          </w:p>
        </w:tc>
        <w:tc>
          <w:tcPr>
            <w:tcW w:w="136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Nezaradený</w:t>
            </w:r>
          </w:p>
        </w:tc>
        <w:tc>
          <w:tcPr>
            <w:tcW w:w="130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Začiatok</w:t>
            </w:r>
          </w:p>
        </w:tc>
        <w:tc>
          <w:tcPr>
            <w:tcW w:w="131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Ukončenie</w:t>
            </w:r>
          </w:p>
        </w:tc>
        <w:tc>
          <w:tcPr>
            <w:tcW w:w="1525"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Podaná</w:t>
            </w:r>
          </w:p>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prihláška</w:t>
            </w:r>
          </w:p>
        </w:tc>
      </w:tr>
      <w:tr>
        <w:trPr/>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RŠ</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Áno</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r>
        <w:trPr/>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ZRŠ</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Áno</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r>
        <w:trPr/>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ZRŠ</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Áno</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1"/>
        </w:numPr>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civilná služba – nie</w:t>
      </w:r>
    </w:p>
    <w:p>
      <w:pPr>
        <w:pStyle w:val="Normal"/>
        <w:numPr>
          <w:ilvl w:val="0"/>
          <w:numId w:val="1"/>
        </w:numPr>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aktivačné práce –nie – počet: 0</w:t>
      </w:r>
    </w:p>
    <w:p>
      <w:pPr>
        <w:pStyle w:val="Normal"/>
        <w:numPr>
          <w:ilvl w:val="0"/>
          <w:numId w:val="1"/>
        </w:numPr>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dobrovoľnícka  služba  – nie – počet: 0</w:t>
      </w:r>
    </w:p>
    <w:p>
      <w:pPr>
        <w:pStyle w:val="Normal"/>
        <w:numPr>
          <w:ilvl w:val="0"/>
          <w:numId w:val="1"/>
        </w:numPr>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projekt Cesta na trh práce 3 – 1</w:t>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i/>
                <w:i/>
                <w:color w:val="548DD4" w:themeColor="text2" w:themeTint="99"/>
                <w:sz w:val="24"/>
                <w:szCs w:val="24"/>
              </w:rPr>
            </w:pPr>
            <w:r>
              <w:rPr>
                <w:rFonts w:eastAsia="Times New Roman" w:cs="Times New Roman" w:ascii="Times New Roman" w:hAnsi="Times New Roman"/>
                <w:b/>
                <w:i/>
                <w:kern w:val="0"/>
                <w:sz w:val="24"/>
                <w:szCs w:val="24"/>
                <w:lang w:val="sk-SK" w:eastAsia="sk-SK" w:bidi="ar-SA"/>
              </w:rPr>
              <w:t>Aktivity a prezentácia školy na verejnosti</w:t>
            </w:r>
          </w:p>
        </w:tc>
      </w:tr>
    </w:tbl>
    <w:p>
      <w:pPr>
        <w:pStyle w:val="Normal"/>
        <w:spacing w:lineRule="auto" w:line="240" w:before="0" w:after="0"/>
        <w:rPr>
          <w:rFonts w:ascii="Times New Roman" w:hAnsi="Times New Roman" w:cs="Times New Roman"/>
          <w:b/>
          <w:b/>
          <w:i/>
          <w:i/>
          <w:color w:val="548DD4" w:themeColor="text2" w:themeTint="99"/>
          <w:sz w:val="24"/>
          <w:szCs w:val="24"/>
        </w:rPr>
      </w:pPr>
      <w:r>
        <w:rPr>
          <w:rFonts w:cs="Times New Roman" w:ascii="Times New Roman" w:hAnsi="Times New Roman"/>
          <w:b/>
          <w:i/>
          <w:color w:val="548DD4" w:themeColor="text2" w:themeTint="99"/>
          <w:sz w:val="24"/>
          <w:szCs w:val="24"/>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shd w:color="auto" w:fill="8DB3E2" w:themeFill="text2" w:themeFillTint="66" w:val="clear"/>
          </w:tcPr>
          <w:p>
            <w:pPr>
              <w:pStyle w:val="Normal"/>
              <w:widowControl/>
              <w:spacing w:lineRule="auto" w:line="240" w:before="0" w:after="0"/>
              <w:jc w:val="left"/>
              <w:rPr>
                <w:b/>
                <w:b/>
                <w:i/>
                <w:i/>
                <w:sz w:val="24"/>
                <w:szCs w:val="24"/>
                <w:lang w:eastAsia="cs-CZ"/>
              </w:rPr>
            </w:pPr>
            <w:r>
              <w:rPr>
                <w:rFonts w:eastAsia="Times New Roman" w:cs="Times New Roman" w:ascii="Times New Roman" w:hAnsi="Times New Roman"/>
                <w:b/>
                <w:i/>
                <w:kern w:val="0"/>
                <w:sz w:val="24"/>
                <w:szCs w:val="24"/>
                <w:lang w:val="sk-SK" w:eastAsia="cs-CZ" w:bidi="ar-SA"/>
              </w:rPr>
              <w:t>Aktivity organizované školou</w:t>
            </w:r>
          </w:p>
        </w:tc>
        <w:tc>
          <w:tcPr>
            <w:tcW w:w="4605" w:type="dxa"/>
            <w:tcBorders/>
            <w:shd w:color="auto" w:fill="8DB3E2" w:themeFill="text2" w:themeFillTint="66" w:val="clear"/>
          </w:tcPr>
          <w:p>
            <w:pPr>
              <w:pStyle w:val="Normal"/>
              <w:widowControl/>
              <w:spacing w:lineRule="auto" w:line="240" w:before="0" w:after="0"/>
              <w:jc w:val="left"/>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Aktivity, do ktorých sa škola zapojila</w:t>
            </w:r>
          </w:p>
        </w:tc>
      </w:tr>
      <w:tr>
        <w:trPr/>
        <w:tc>
          <w:tcPr>
            <w:tcW w:w="4606"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Zber papiera celoročne</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Matematické – Maksík, Klokanko, Pytagoriáda,</w:t>
            </w:r>
          </w:p>
        </w:tc>
      </w:tr>
      <w:tr>
        <w:trPr/>
        <w:tc>
          <w:tcPr>
            <w:tcW w:w="4606" w:type="dxa"/>
            <w:tcBorders/>
          </w:tcPr>
          <w:p>
            <w:pPr>
              <w:pStyle w:val="Normal"/>
              <w:widowControl/>
              <w:spacing w:lineRule="auto" w:line="240" w:before="0" w:after="0"/>
              <w:jc w:val="left"/>
              <w:rPr>
                <w:b/>
                <w:b/>
                <w:color w:val="548DD4" w:themeColor="text2" w:themeTint="99"/>
                <w:sz w:val="24"/>
                <w:szCs w:val="24"/>
                <w:lang w:eastAsia="cs-CZ"/>
              </w:rPr>
            </w:pPr>
            <w:r>
              <w:rPr>
                <w:rFonts w:eastAsia="Times New Roman" w:cs="Times New Roman" w:ascii="Times New Roman" w:hAnsi="Times New Roman"/>
                <w:kern w:val="0"/>
                <w:sz w:val="24"/>
                <w:szCs w:val="24"/>
                <w:lang w:val="sk-SK" w:eastAsia="sk-SK" w:bidi="ar-SA"/>
              </w:rPr>
              <w:t>Otvorené hodiny pre rodičov v 1. roč. a MŠ</w:t>
            </w:r>
          </w:p>
        </w:tc>
        <w:tc>
          <w:tcPr>
            <w:tcW w:w="4605" w:type="dxa"/>
            <w:tcBorders/>
          </w:tcPr>
          <w:p>
            <w:pPr>
              <w:pStyle w:val="Normal"/>
              <w:widowControl/>
              <w:spacing w:lineRule="auto" w:line="240" w:before="0" w:after="0"/>
              <w:jc w:val="left"/>
              <w:rPr>
                <w:color w:val="548DD4" w:themeColor="text2" w:themeTint="99"/>
                <w:sz w:val="24"/>
                <w:szCs w:val="24"/>
                <w:lang w:eastAsia="cs-CZ"/>
              </w:rPr>
            </w:pPr>
            <w:r>
              <w:rPr>
                <w:rFonts w:eastAsia="Times New Roman" w:cs="Times New Roman" w:ascii="Times New Roman" w:hAnsi="Times New Roman"/>
                <w:kern w:val="0"/>
                <w:sz w:val="24"/>
                <w:szCs w:val="24"/>
                <w:lang w:val="sk-SK" w:eastAsia="cs-CZ" w:bidi="ar-SA"/>
              </w:rPr>
              <w:t>Deň narcisov – Liga proti rakovine online</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Karneval pre 1. stupeň</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sk-SK" w:bidi="ar-SA"/>
              </w:rPr>
              <w:t>Európsky deň jazykov</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Spievame koledy 2022</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sk-SK" w:bidi="ar-SA"/>
              </w:rPr>
              <w:t>Olympiády – ANJ, M, F, CHE, BIO, GEO, D</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Vianočné dielne - Šikovné ruky žiakov 3.B</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sk-SK" w:bidi="ar-SA"/>
              </w:rPr>
              <w:t>Súťaže – Hviezdoslavov Kubín</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Vytvorenie novej oddychovej zóny za novou budovou, vytvorenie políčok pre triedy</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Koľko lásky sa zmestí do krabice od topánok</w:t>
            </w:r>
          </w:p>
        </w:tc>
      </w:tr>
      <w:tr>
        <w:trPr/>
        <w:tc>
          <w:tcPr>
            <w:tcW w:w="4606" w:type="dxa"/>
            <w:tcBorders/>
          </w:tcPr>
          <w:p>
            <w:pPr>
              <w:pStyle w:val="Normal"/>
              <w:widowControl/>
              <w:spacing w:lineRule="auto" w:line="240" w:before="0" w:after="0"/>
              <w:jc w:val="left"/>
              <w:rPr>
                <w:sz w:val="22"/>
                <w:szCs w:val="22"/>
              </w:rPr>
            </w:pPr>
            <w:r>
              <w:rPr>
                <w:rFonts w:eastAsia="Times New Roman" w:cs="Times New Roman" w:ascii="Times New Roman" w:hAnsi="Times New Roman"/>
                <w:kern w:val="0"/>
                <w:sz w:val="22"/>
                <w:szCs w:val="22"/>
                <w:lang w:val="sk-SK" w:eastAsia="sk-SK" w:bidi="ar-SA"/>
              </w:rPr>
              <w:t>Týždeň zdravej výživy – jablkom proti obezite</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sk-SK" w:bidi="ar-SA"/>
              </w:rPr>
              <w:t>Zdravý životný štýl</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Miss bábika</w:t>
            </w:r>
          </w:p>
        </w:tc>
        <w:tc>
          <w:tcPr>
            <w:tcW w:w="4605"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Slávik Slovenska</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Jablkový deň 2022</w:t>
            </w:r>
          </w:p>
        </w:tc>
        <w:tc>
          <w:tcPr>
            <w:tcW w:w="4605"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0"/>
                <w:szCs w:val="20"/>
                <w:lang w:val="sk-SK" w:eastAsia="sk-SK" w:bidi="ar-SA"/>
              </w:rPr>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Vitamíny bojovníci proti chorobám</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Najstrašidelnejšia tekvica</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Cesta mlieka – jeho propagácia</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iBobor 2022</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Okienko zdravia – web stránka školy</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Všetkovedko – vedomostná súťaž</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Rozhlasové relácie</w:t>
            </w:r>
          </w:p>
        </w:tc>
        <w:tc>
          <w:tcPr>
            <w:tcW w:w="4605" w:type="dxa"/>
            <w:tcBorders/>
          </w:tcPr>
          <w:p>
            <w:pPr>
              <w:pStyle w:val="Normal"/>
              <w:widowControl/>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Ypsilon – slovina je hra</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Svetový deň ochrany zvierat -</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0"/>
                <w:szCs w:val="20"/>
                <w:lang w:val="sk-SK" w:eastAsia="cs-CZ" w:bidi="ar-SA"/>
              </w:rPr>
              <w:t>Celé Slovensko číta deťom -Adventné čítanie s Mikulášom</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Jeseň v záhrade</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Kozmixove dobrodružné príbehy</w:t>
            </w:r>
          </w:p>
        </w:tc>
      </w:tr>
      <w:tr>
        <w:trPr/>
        <w:tc>
          <w:tcPr>
            <w:tcW w:w="4606"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sk-SK" w:eastAsia="sk-SK" w:bidi="ar-SA"/>
              </w:rPr>
              <w:t>Triedenie odpadu v triedach</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iBobor celoslovenská súťaž v informatike</w:t>
            </w:r>
          </w:p>
        </w:tc>
      </w:tr>
      <w:tr>
        <w:trPr/>
        <w:tc>
          <w:tcPr>
            <w:tcW w:w="4606"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Rozlúčkové stretnutie deviatakov</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Osmijankova literárna záhrada</w:t>
            </w:r>
          </w:p>
        </w:tc>
      </w:tr>
      <w:tr>
        <w:trPr/>
        <w:tc>
          <w:tcPr>
            <w:tcW w:w="4606"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Beseda s Františkom Gajdošom, </w:t>
            </w:r>
            <w:r>
              <w:rPr>
                <w:rFonts w:eastAsia="Times New Roman" w:cs="Times New Roman" w:ascii="Times New Roman" w:hAnsi="Times New Roman"/>
                <w:kern w:val="0"/>
                <w:sz w:val="16"/>
                <w:szCs w:val="16"/>
                <w:lang w:val="sk-SK" w:eastAsia="cs-CZ" w:bidi="ar-SA"/>
              </w:rPr>
              <w:t>prvým Bardejovčanom v slovenskej hokejovej reprezentácii</w:t>
            </w:r>
          </w:p>
        </w:tc>
        <w:tc>
          <w:tcPr>
            <w:tcW w:w="4605"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Som prvák</w:t>
            </w:r>
          </w:p>
        </w:tc>
      </w:tr>
    </w:tbl>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rPr>
            </w:pPr>
            <w:r>
              <w:rPr>
                <w:rFonts w:eastAsia="Times New Roman" w:cs="Times New Roman" w:ascii="Times New Roman" w:hAnsi="Times New Roman"/>
                <w:b/>
                <w:kern w:val="0"/>
                <w:sz w:val="24"/>
                <w:szCs w:val="24"/>
                <w:lang w:val="sk-SK" w:eastAsia="sk-SK" w:bidi="ar-SA"/>
              </w:rPr>
              <w:t>Projekty, do ktorých je škola zapojená a ich finančná dotácia</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60"/>
        <w:gridCol w:w="2125"/>
        <w:gridCol w:w="2124"/>
        <w:gridCol w:w="2302"/>
      </w:tblGrid>
      <w:tr>
        <w:trPr/>
        <w:tc>
          <w:tcPr>
            <w:tcW w:w="2660" w:type="dxa"/>
            <w:tcBorders/>
            <w:shd w:color="auto" w:fill="8DB3E2" w:themeFill="text2" w:themeFillTint="66" w:val="clear"/>
          </w:tcPr>
          <w:p>
            <w:pPr>
              <w:pStyle w:val="Normal"/>
              <w:widowControl/>
              <w:spacing w:lineRule="auto" w:line="240" w:before="0" w:after="0"/>
              <w:jc w:val="left"/>
              <w:rPr>
                <w:bCs/>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Názov projektu</w:t>
            </w:r>
          </w:p>
        </w:tc>
        <w:tc>
          <w:tcPr>
            <w:tcW w:w="2125" w:type="dxa"/>
            <w:tcBorders/>
            <w:shd w:color="auto" w:fill="8DB3E2" w:themeFill="text2" w:themeFillTint="66" w:val="clear"/>
          </w:tcPr>
          <w:p>
            <w:pPr>
              <w:pStyle w:val="Normal"/>
              <w:widowControl/>
              <w:spacing w:lineRule="auto" w:line="240" w:before="0" w:after="0"/>
              <w:jc w:val="center"/>
              <w:rPr>
                <w:b/>
                <w:b/>
                <w:bCs/>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Termín začatia projektu</w:t>
            </w:r>
          </w:p>
        </w:tc>
        <w:tc>
          <w:tcPr>
            <w:tcW w:w="2124" w:type="dxa"/>
            <w:tcBorders/>
            <w:shd w:color="auto" w:fill="8DB3E2" w:themeFill="text2" w:themeFillTint="66" w:val="clear"/>
          </w:tcPr>
          <w:p>
            <w:pPr>
              <w:pStyle w:val="Normal"/>
              <w:widowControl/>
              <w:spacing w:lineRule="auto" w:line="240" w:before="0" w:after="0"/>
              <w:jc w:val="center"/>
              <w:rPr>
                <w:b/>
                <w:b/>
                <w:bCs/>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Termín ukončenia  projektu</w:t>
            </w:r>
          </w:p>
        </w:tc>
        <w:tc>
          <w:tcPr>
            <w:tcW w:w="2302" w:type="dxa"/>
            <w:tcBorders/>
            <w:shd w:color="auto" w:fill="8DB3E2" w:themeFill="text2" w:themeFillTint="66" w:val="clear"/>
          </w:tcPr>
          <w:p>
            <w:pPr>
              <w:pStyle w:val="Normal"/>
              <w:widowControl/>
              <w:spacing w:lineRule="auto" w:line="240" w:before="0" w:after="0"/>
              <w:jc w:val="left"/>
              <w:rPr>
                <w:b/>
                <w:b/>
                <w:bCs/>
                <w:i/>
                <w:i/>
                <w:color w:val="1F497D" w:themeColor="text2"/>
                <w:sz w:val="24"/>
                <w:szCs w:val="24"/>
                <w:lang w:eastAsia="cs-CZ"/>
              </w:rPr>
            </w:pPr>
            <w:r>
              <w:rPr>
                <w:rFonts w:eastAsia="Times New Roman" w:cs="Times New Roman" w:ascii="Times New Roman" w:hAnsi="Times New Roman"/>
                <w:b/>
                <w:bCs/>
                <w:i/>
                <w:color w:val="1F497D" w:themeColor="text2"/>
                <w:kern w:val="0"/>
                <w:sz w:val="24"/>
                <w:szCs w:val="24"/>
                <w:lang w:val="sk-SK" w:eastAsia="cs-CZ" w:bidi="ar-SA"/>
              </w:rPr>
              <w:t>Výška dotácie</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Šport pre všetkých</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27.10.2008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27.10.2008</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20 000,- Sk</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Oddychová zóna</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01.12.2007</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30.04.2008</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7 500,- Sk</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Športové triedy</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01.09.2008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31.03.2009</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178 200,- Sk</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Šport pre všetkých</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14.10.2008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14.10.2008</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10 000,- Sk</w:t>
            </w:r>
          </w:p>
        </w:tc>
      </w:tr>
      <w:tr>
        <w:trPr/>
        <w:tc>
          <w:tcPr>
            <w:tcW w:w="2660" w:type="dxa"/>
            <w:tcBorders/>
          </w:tcPr>
          <w:p>
            <w:pPr>
              <w:pStyle w:val="Normal"/>
              <w:widowControl/>
              <w:spacing w:lineRule="auto" w:line="240" w:before="0" w:after="0"/>
              <w:jc w:val="left"/>
              <w:rPr>
                <w:bCs/>
                <w:lang w:eastAsia="cs-CZ"/>
              </w:rPr>
            </w:pPr>
            <w:r>
              <w:rPr>
                <w:rFonts w:eastAsia="Times New Roman" w:cs="Times New Roman" w:ascii="Times New Roman" w:hAnsi="Times New Roman"/>
                <w:kern w:val="0"/>
                <w:sz w:val="20"/>
                <w:szCs w:val="20"/>
                <w:lang w:val="sk-SK" w:eastAsia="cs-CZ" w:bidi="ar-SA"/>
              </w:rPr>
              <w:t>Inovatívne Pod Vinbargom</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10/2010</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09/2011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67 637,23 €</w:t>
            </w:r>
          </w:p>
        </w:tc>
      </w:tr>
      <w:tr>
        <w:trPr/>
        <w:tc>
          <w:tcPr>
            <w:tcW w:w="2660" w:type="dxa"/>
            <w:tcBorders/>
          </w:tcPr>
          <w:p>
            <w:pPr>
              <w:pStyle w:val="Normal"/>
              <w:widowControl/>
              <w:spacing w:lineRule="auto" w:line="240" w:before="0" w:after="0"/>
              <w:jc w:val="left"/>
              <w:rPr>
                <w:bCs/>
                <w:lang w:eastAsia="cs-CZ"/>
              </w:rPr>
            </w:pPr>
            <w:r>
              <w:rPr>
                <w:rFonts w:eastAsia="Times New Roman" w:cs="Times New Roman" w:ascii="Times New Roman" w:hAnsi="Times New Roman"/>
                <w:bCs/>
                <w:kern w:val="0"/>
                <w:sz w:val="20"/>
                <w:szCs w:val="20"/>
                <w:lang w:val="sk-SK" w:eastAsia="cs-CZ" w:bidi="ar-SA"/>
              </w:rPr>
              <w:t>Môj svet v školskej knižnici</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19.03.2013</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31.10.2013</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3 000,-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R.E.A.D.</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09/2012</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05/2014</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21 000,-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Music is life e-Twinning</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10/2016</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06/2017</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 xml:space="preserve">         </w:t>
            </w:r>
            <w:r>
              <w:rPr>
                <w:rFonts w:eastAsia="Times New Roman" w:cs="Times New Roman" w:ascii="Times New Roman" w:hAnsi="Times New Roman"/>
                <w:bCs/>
                <w:kern w:val="0"/>
                <w:sz w:val="24"/>
                <w:szCs w:val="24"/>
                <w:lang w:val="sk-SK" w:eastAsia="cs-CZ" w:bidi="ar-SA"/>
              </w:rPr>
              <w:t>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All-Inclusive Children´s Rights Initiative</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15.02.2018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14.08.2018</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14 000,-€</w:t>
            </w:r>
          </w:p>
        </w:tc>
      </w:tr>
      <w:tr>
        <w:trPr/>
        <w:tc>
          <w:tcPr>
            <w:tcW w:w="2660" w:type="dxa"/>
            <w:tcBorders/>
          </w:tcPr>
          <w:p>
            <w:pPr>
              <w:pStyle w:val="Normal"/>
              <w:widowControl/>
              <w:spacing w:lineRule="auto" w:line="240" w:before="0" w:after="0"/>
              <w:jc w:val="left"/>
              <w:rPr>
                <w:bCs/>
                <w:lang w:eastAsia="cs-CZ"/>
              </w:rPr>
            </w:pPr>
            <w:r>
              <w:rPr>
                <w:rFonts w:eastAsia="Times New Roman" w:cs="Times New Roman" w:ascii="Times New Roman" w:hAnsi="Times New Roman"/>
                <w:bCs/>
                <w:kern w:val="0"/>
                <w:sz w:val="20"/>
                <w:szCs w:val="20"/>
                <w:lang w:val="sk-SK" w:eastAsia="cs-CZ" w:bidi="ar-SA"/>
              </w:rPr>
              <w:t>Pravidlá hry pre všetkých – KNB</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05/2018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10/2018</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450,-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Revitalizácia parku – KNB</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10.12.2018</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28.06.2019</w:t>
            </w:r>
          </w:p>
        </w:tc>
        <w:tc>
          <w:tcPr>
            <w:tcW w:w="2302" w:type="dxa"/>
            <w:tcBorders/>
          </w:tcPr>
          <w:p>
            <w:pPr>
              <w:pStyle w:val="Normal"/>
              <w:widowControl/>
              <w:spacing w:lineRule="auto" w:line="240" w:before="0" w:after="0"/>
              <w:jc w:val="center"/>
              <w:rPr>
                <w:bCs/>
                <w:lang w:eastAsia="cs-CZ"/>
              </w:rPr>
            </w:pPr>
            <w:r>
              <w:rPr>
                <w:rFonts w:eastAsia="Times New Roman" w:cs="Times New Roman" w:ascii="Times New Roman" w:hAnsi="Times New Roman"/>
                <w:bCs/>
                <w:kern w:val="0"/>
                <w:sz w:val="20"/>
                <w:szCs w:val="20"/>
                <w:lang w:val="sk-SK" w:eastAsia="cs-CZ" w:bidi="ar-SA"/>
              </w:rPr>
              <w:t>4 500,-€ (vlastný vklad školy)</w:t>
            </w:r>
          </w:p>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cs-CZ" w:bidi="ar-SA"/>
              </w:rPr>
              <w:t>400,- € (KNB)</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Empathy – a way to the</w:t>
            </w:r>
          </w:p>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human being</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01.09.2019</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31.08.2021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31 542,-</w:t>
            </w:r>
          </w:p>
        </w:tc>
      </w:tr>
      <w:tr>
        <w:trPr/>
        <w:tc>
          <w:tcPr>
            <w:tcW w:w="2660" w:type="dxa"/>
            <w:tcBorders/>
          </w:tcPr>
          <w:p>
            <w:pPr>
              <w:pStyle w:val="Normal"/>
              <w:widowControl/>
              <w:spacing w:lineRule="auto" w:line="240" w:before="0" w:after="0"/>
              <w:jc w:val="left"/>
              <w:rPr>
                <w:bCs/>
                <w:lang w:eastAsia="cs-CZ"/>
              </w:rPr>
            </w:pPr>
            <w:r>
              <w:rPr>
                <w:rFonts w:eastAsia="Times New Roman" w:cs="Times New Roman" w:ascii="Times New Roman" w:hAnsi="Times New Roman"/>
                <w:bCs/>
                <w:kern w:val="0"/>
                <w:sz w:val="20"/>
                <w:szCs w:val="20"/>
                <w:lang w:val="sk-SK" w:eastAsia="cs-CZ" w:bidi="ar-SA"/>
              </w:rPr>
              <w:t>Odstraňovanie stavebných bariér v školách</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01.12.2019</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31.12.2019</w:t>
            </w:r>
          </w:p>
        </w:tc>
        <w:tc>
          <w:tcPr>
            <w:tcW w:w="2302" w:type="dxa"/>
            <w:tcBorders/>
          </w:tcPr>
          <w:p>
            <w:pPr>
              <w:pStyle w:val="Normal"/>
              <w:widowControl/>
              <w:spacing w:lineRule="auto" w:line="240" w:before="0" w:after="0"/>
              <w:jc w:val="center"/>
              <w:rPr>
                <w:bCs/>
                <w:lang w:eastAsia="cs-CZ"/>
              </w:rPr>
            </w:pPr>
            <w:r>
              <w:rPr>
                <w:rFonts w:eastAsia="Times New Roman" w:cs="Times New Roman" w:ascii="Times New Roman" w:hAnsi="Times New Roman"/>
                <w:bCs/>
                <w:kern w:val="0"/>
                <w:sz w:val="20"/>
                <w:szCs w:val="20"/>
                <w:lang w:val="sk-SK" w:eastAsia="cs-CZ" w:bidi="ar-SA"/>
              </w:rPr>
              <w:t>10 000,-€</w:t>
            </w:r>
          </w:p>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cs-CZ" w:bidi="ar-SA"/>
              </w:rPr>
              <w:t>1 460,-€ (vklad školy)</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Čítame radi 2</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01.02.2021</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31.05.2021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800,-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Projekt „Modernejšia škola“ MŠ SR</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Jún 2021</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30.09.2021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25 600,- €</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w:t>
            </w:r>
            <w:r>
              <w:rPr>
                <w:rFonts w:eastAsia="Times New Roman" w:cs="Times New Roman" w:ascii="Times New Roman" w:hAnsi="Times New Roman"/>
                <w:bCs/>
                <w:kern w:val="0"/>
                <w:sz w:val="24"/>
                <w:szCs w:val="24"/>
                <w:lang w:val="sk-SK" w:eastAsia="cs-CZ" w:bidi="ar-SA"/>
              </w:rPr>
              <w:t>Letná škola“</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09.08.2021</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27.08.2021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6 000,-€</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w:t>
            </w:r>
            <w:r>
              <w:rPr>
                <w:rFonts w:eastAsia="Times New Roman" w:cs="Times New Roman" w:ascii="Times New Roman" w:hAnsi="Times New Roman"/>
                <w:bCs/>
                <w:kern w:val="0"/>
                <w:sz w:val="24"/>
                <w:szCs w:val="24"/>
                <w:lang w:val="sk-SK" w:eastAsia="cs-CZ" w:bidi="ar-SA"/>
              </w:rPr>
              <w:t>Múdre hranie“ MŠ</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1 000,-€</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Zlepšenie vybavenia ŠJ</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Projekt neprešiel</w:t>
            </w:r>
          </w:p>
        </w:tc>
      </w:tr>
      <w:tr>
        <w:trPr/>
        <w:tc>
          <w:tcPr>
            <w:tcW w:w="2660" w:type="dxa"/>
            <w:tcBorders/>
          </w:tcPr>
          <w:p>
            <w:pPr>
              <w:pStyle w:val="Normal"/>
              <w:widowControl/>
              <w:spacing w:lineRule="auto" w:line="240" w:before="0" w:after="0"/>
              <w:jc w:val="left"/>
              <w:rPr>
                <w:bCs/>
                <w:sz w:val="24"/>
                <w:szCs w:val="24"/>
                <w:lang w:eastAsia="cs-CZ"/>
              </w:rPr>
            </w:pPr>
            <w:r>
              <w:rPr>
                <w:rFonts w:eastAsia="Times New Roman" w:cs="Times New Roman" w:ascii="Times New Roman" w:hAnsi="Times New Roman"/>
                <w:bCs/>
                <w:kern w:val="0"/>
                <w:sz w:val="24"/>
                <w:szCs w:val="24"/>
                <w:lang w:val="sk-SK" w:eastAsia="cs-CZ" w:bidi="ar-SA"/>
              </w:rPr>
              <w:t>„</w:t>
            </w:r>
            <w:r>
              <w:rPr>
                <w:rFonts w:eastAsia="Times New Roman" w:cs="Times New Roman" w:ascii="Times New Roman" w:hAnsi="Times New Roman"/>
                <w:bCs/>
                <w:kern w:val="0"/>
                <w:sz w:val="24"/>
                <w:szCs w:val="24"/>
                <w:lang w:val="sk-SK" w:eastAsia="cs-CZ" w:bidi="ar-SA"/>
              </w:rPr>
              <w:t>Spolu múdrejší“</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01.04.2021</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31.05.2021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Projekt neprešiel</w:t>
            </w:r>
          </w:p>
        </w:tc>
      </w:tr>
      <w:tr>
        <w:trPr/>
        <w:tc>
          <w:tcPr>
            <w:tcW w:w="2660" w:type="dxa"/>
            <w:tcBorders/>
          </w:tcPr>
          <w:p>
            <w:pPr>
              <w:pStyle w:val="Normal"/>
              <w:widowControl/>
              <w:spacing w:lineRule="auto" w:line="240" w:before="0" w:after="0"/>
              <w:jc w:val="left"/>
              <w:rPr>
                <w:bCs/>
                <w:lang w:eastAsia="cs-CZ"/>
              </w:rPr>
            </w:pPr>
            <w:hyperlink r:id="rId9">
              <w:r>
                <w:rPr>
                  <w:rFonts w:eastAsia="Calibri" w:cs="Times New Roman" w:ascii="Times New Roman" w:hAnsi="Times New Roman" w:eastAsiaTheme="minorHAnsi"/>
                  <w:kern w:val="0"/>
                  <w:sz w:val="20"/>
                  <w:szCs w:val="20"/>
                  <w:shd w:fill="FFFFFF" w:val="clear"/>
                  <w:lang w:val="sk-SK" w:eastAsia="en-US" w:bidi="ar-SA"/>
                </w:rPr>
                <w:t>„</w:t>
              </w:r>
              <w:r>
                <w:rPr>
                  <w:rFonts w:eastAsia="Calibri" w:cs="Times New Roman" w:ascii="Times New Roman" w:hAnsi="Times New Roman" w:eastAsiaTheme="minorHAnsi"/>
                  <w:kern w:val="0"/>
                  <w:sz w:val="20"/>
                  <w:szCs w:val="20"/>
                  <w:shd w:fill="FFFFFF" w:val="clear"/>
                  <w:lang w:val="sk-SK" w:eastAsia="en-US" w:bidi="ar-SA"/>
                </w:rPr>
                <w:t>ENVIROPROJEKT 2021“</w:t>
              </w:r>
            </w:hyperlink>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30.06.2021</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31.12.2021</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Projekt neprešiel</w:t>
            </w:r>
          </w:p>
        </w:tc>
      </w:tr>
      <w:tr>
        <w:trPr/>
        <w:tc>
          <w:tcPr>
            <w:tcW w:w="2660" w:type="dxa"/>
            <w:tcBorders/>
          </w:tcPr>
          <w:p>
            <w:pPr>
              <w:pStyle w:val="Normal"/>
              <w:widowControl/>
              <w:spacing w:lineRule="auto" w:line="240" w:before="0" w:after="0"/>
              <w:jc w:val="left"/>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My machine</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r>
      <w:tr>
        <w:trPr/>
        <w:tc>
          <w:tcPr>
            <w:tcW w:w="2660" w:type="dxa"/>
            <w:tcBorders/>
          </w:tcPr>
          <w:p>
            <w:pPr>
              <w:pStyle w:val="Normal"/>
              <w:widowControl/>
              <w:spacing w:lineRule="auto" w:line="240" w:before="0" w:after="0"/>
              <w:jc w:val="left"/>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City in Photo</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02.05.2022</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01.05.2024</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60 000,-€</w:t>
            </w:r>
          </w:p>
        </w:tc>
      </w:tr>
      <w:tr>
        <w:trPr/>
        <w:tc>
          <w:tcPr>
            <w:tcW w:w="2660" w:type="dxa"/>
            <w:tcBorders/>
          </w:tcPr>
          <w:p>
            <w:pPr>
              <w:pStyle w:val="Normal"/>
              <w:widowControl/>
              <w:spacing w:lineRule="auto" w:line="240" w:before="0" w:after="0"/>
              <w:jc w:val="left"/>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Digitálne kompetencie &amp; čitateľské zručnosti</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01.09.2022</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29.02.2024</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48 450,-€</w:t>
            </w:r>
          </w:p>
        </w:tc>
      </w:tr>
      <w:tr>
        <w:trPr/>
        <w:tc>
          <w:tcPr>
            <w:tcW w:w="2660" w:type="dxa"/>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sk-SK" w:eastAsia="sk-SK" w:bidi="ar-SA"/>
              </w:rPr>
              <w:t>Čítajte bez obmedzení: Inkluzívne vzdelávanie pre zrakovo postihnutých</w:t>
            </w:r>
          </w:p>
          <w:p>
            <w:pPr>
              <w:pStyle w:val="Normal"/>
              <w:widowControl/>
              <w:spacing w:lineRule="auto" w:line="240" w:before="0" w:after="0"/>
              <w:jc w:val="left"/>
              <w:rPr>
                <w:rFonts w:ascii="Times New Roman" w:hAnsi="Times New Roman" w:eastAsia="Times New Roman" w:cs="Times New Roman"/>
                <w:kern w:val="0"/>
                <w:lang w:val="sk-SK" w:eastAsia="sk-SK" w:bidi="ar-SA"/>
              </w:rPr>
            </w:pPr>
            <w:r>
              <w:rPr>
                <w:rFonts w:eastAsia="Times New Roman" w:cs="Times New Roman" w:ascii="Times New Roman" w:hAnsi="Times New Roman"/>
                <w:kern w:val="0"/>
                <w:sz w:val="16"/>
                <w:szCs w:val="16"/>
                <w:lang w:val="sk-SK" w:eastAsia="sk-SK" w:bidi="ar-SA"/>
              </w:rPr>
              <w:t>študentov.</w:t>
            </w:r>
          </w:p>
        </w:tc>
        <w:tc>
          <w:tcPr>
            <w:tcW w:w="2125"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16"/>
                <w:szCs w:val="16"/>
                <w:lang w:val="sk-SK" w:eastAsia="cs-CZ" w:bidi="ar-SA"/>
              </w:rPr>
              <w:t>Projekt nebol podporený pre nedostatok finančných prostriedkov</w:t>
            </w:r>
            <w:r>
              <w:rPr>
                <w:rFonts w:eastAsia="Times New Roman" w:cs="Times New Roman" w:ascii="Times New Roman" w:hAnsi="Times New Roman"/>
                <w:bCs/>
                <w:kern w:val="0"/>
                <w:sz w:val="24"/>
                <w:szCs w:val="24"/>
                <w:lang w:val="sk-SK" w:eastAsia="cs-CZ" w:bidi="ar-SA"/>
              </w:rPr>
              <w:t>.</w:t>
            </w:r>
          </w:p>
        </w:tc>
        <w:tc>
          <w:tcPr>
            <w:tcW w:w="2124"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0"/>
                <w:szCs w:val="20"/>
                <w:lang w:val="sk-SK" w:eastAsia="sk-SK" w:bidi="ar-SA"/>
              </w:rPr>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250 000,-€</w:t>
            </w:r>
          </w:p>
        </w:tc>
      </w:tr>
      <w:tr>
        <w:trPr/>
        <w:tc>
          <w:tcPr>
            <w:tcW w:w="2660" w:type="dxa"/>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sk-SK" w:eastAsia="sk-SK" w:bidi="ar-SA"/>
              </w:rPr>
              <w:t>Podnikanie – zručnosť 21. Storočia: „Most od vzdelania k zamestnanosti“.</w:t>
            </w:r>
          </w:p>
        </w:tc>
        <w:tc>
          <w:tcPr>
            <w:tcW w:w="2125" w:type="dxa"/>
            <w:tcBorders/>
          </w:tcPr>
          <w:p>
            <w:pPr>
              <w:pStyle w:val="Normal"/>
              <w:widowControl/>
              <w:spacing w:lineRule="auto" w:line="240" w:before="0" w:after="0"/>
              <w:jc w:val="center"/>
              <w:rPr>
                <w:bCs/>
                <w:sz w:val="16"/>
                <w:szCs w:val="16"/>
                <w:lang w:eastAsia="cs-CZ"/>
              </w:rPr>
            </w:pPr>
            <w:r>
              <w:rPr>
                <w:rFonts w:eastAsia="Times New Roman" w:cs="Times New Roman" w:ascii="Times New Roman" w:hAnsi="Times New Roman"/>
                <w:bCs/>
                <w:kern w:val="0"/>
                <w:sz w:val="16"/>
                <w:szCs w:val="16"/>
                <w:lang w:val="sk-SK" w:eastAsia="cs-CZ" w:bidi="ar-SA"/>
              </w:rPr>
              <w:t>Projekt nebol podporený pre nedostatok finančných prostriedkov</w:t>
            </w:r>
            <w:r>
              <w:rPr>
                <w:rFonts w:eastAsia="Times New Roman" w:cs="Times New Roman" w:ascii="Times New Roman" w:hAnsi="Times New Roman"/>
                <w:bCs/>
                <w:kern w:val="0"/>
                <w:sz w:val="24"/>
                <w:szCs w:val="24"/>
                <w:lang w:val="sk-SK" w:eastAsia="cs-CZ" w:bidi="ar-SA"/>
              </w:rPr>
              <w:t>.</w:t>
            </w:r>
          </w:p>
        </w:tc>
        <w:tc>
          <w:tcPr>
            <w:tcW w:w="2124" w:type="dxa"/>
            <w:tcBorders/>
          </w:tcPr>
          <w:p>
            <w:pPr>
              <w:pStyle w:val="Normal"/>
              <w:widowControl/>
              <w:spacing w:lineRule="auto" w:line="240" w:before="0" w:after="0"/>
              <w:jc w:val="center"/>
              <w:rPr>
                <w:bCs/>
                <w:sz w:val="16"/>
                <w:szCs w:val="16"/>
                <w:lang w:eastAsia="cs-CZ"/>
              </w:rPr>
            </w:pPr>
            <w:r>
              <w:rPr>
                <w:rFonts w:eastAsia="Times New Roman" w:cs="Times New Roman" w:ascii="Times New Roman" w:hAnsi="Times New Roman"/>
                <w:bCs/>
                <w:kern w:val="0"/>
                <w:sz w:val="16"/>
                <w:szCs w:val="16"/>
                <w:lang w:val="sk-SK" w:eastAsia="cs-CZ" w:bidi="ar-SA"/>
              </w:rPr>
              <w:t>Koordinátor – Slovensko, partnerské krajiny- Portugalsko, Slovinsko a Kréta</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60 000,-€</w:t>
            </w:r>
          </w:p>
        </w:tc>
      </w:tr>
      <w:tr>
        <w:trPr/>
        <w:tc>
          <w:tcPr>
            <w:tcW w:w="2660" w:type="dxa"/>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sk-SK" w:eastAsia="sk-SK" w:bidi="ar-SA"/>
              </w:rPr>
              <w:t>Keepers of culture – Strážcovia kultúry</w:t>
            </w:r>
          </w:p>
        </w:tc>
        <w:tc>
          <w:tcPr>
            <w:tcW w:w="2125" w:type="dxa"/>
            <w:tcBorders/>
          </w:tcPr>
          <w:p>
            <w:pPr>
              <w:pStyle w:val="Normal"/>
              <w:widowControl/>
              <w:spacing w:lineRule="auto" w:line="240" w:before="0" w:after="0"/>
              <w:jc w:val="center"/>
              <w:rPr>
                <w:bCs/>
                <w:sz w:val="16"/>
                <w:szCs w:val="16"/>
                <w:lang w:eastAsia="cs-CZ"/>
              </w:rPr>
            </w:pPr>
            <w:r>
              <w:rPr>
                <w:rFonts w:eastAsia="Times New Roman" w:cs="Times New Roman" w:ascii="Times New Roman" w:hAnsi="Times New Roman"/>
                <w:bCs/>
                <w:kern w:val="0"/>
                <w:sz w:val="16"/>
                <w:szCs w:val="16"/>
                <w:lang w:val="sk-SK" w:eastAsia="cs-CZ" w:bidi="ar-SA"/>
              </w:rPr>
              <w:t>Projekt nebol podporený pre nedostatok finančných prostriedkov</w:t>
            </w:r>
          </w:p>
        </w:tc>
        <w:tc>
          <w:tcPr>
            <w:tcW w:w="2124" w:type="dxa"/>
            <w:tcBorders/>
          </w:tcPr>
          <w:p>
            <w:pPr>
              <w:pStyle w:val="Normal"/>
              <w:widowControl/>
              <w:spacing w:lineRule="auto" w:line="240" w:before="0" w:after="0"/>
              <w:jc w:val="center"/>
              <w:rPr>
                <w:bCs/>
                <w:sz w:val="16"/>
                <w:szCs w:val="16"/>
                <w:lang w:eastAsia="cs-CZ"/>
              </w:rPr>
            </w:pPr>
            <w:r>
              <w:rPr>
                <w:rFonts w:eastAsia="Times New Roman" w:cs="Times New Roman" w:ascii="Times New Roman" w:hAnsi="Times New Roman"/>
                <w:bCs/>
                <w:kern w:val="0"/>
                <w:sz w:val="16"/>
                <w:szCs w:val="16"/>
                <w:lang w:val="sk-SK" w:eastAsia="cs-CZ" w:bidi="ar-SA"/>
              </w:rPr>
              <w:t>Predkladateľom bola talianska škola v Kalábrii, partnerské krajiny- Slovensko, Turecko, Portugalsko.</w:t>
            </w:r>
          </w:p>
        </w:tc>
        <w:tc>
          <w:tcPr>
            <w:tcW w:w="2302" w:type="dxa"/>
            <w:tcBorders/>
          </w:tcPr>
          <w:p>
            <w:pPr>
              <w:pStyle w:val="Normal"/>
              <w:widowControl/>
              <w:spacing w:lineRule="auto" w:line="240" w:before="0" w:after="0"/>
              <w:jc w:val="center"/>
              <w:rPr>
                <w:bCs/>
                <w:sz w:val="24"/>
                <w:szCs w:val="24"/>
                <w:lang w:eastAsia="cs-CZ"/>
              </w:rPr>
            </w:pPr>
            <w:r>
              <w:rPr>
                <w:rFonts w:eastAsia="Times New Roman" w:cs="Times New Roman" w:ascii="Times New Roman" w:hAnsi="Times New Roman"/>
                <w:bCs/>
                <w:kern w:val="0"/>
                <w:sz w:val="24"/>
                <w:szCs w:val="24"/>
                <w:lang w:val="sk-SK" w:eastAsia="cs-CZ" w:bidi="ar-SA"/>
              </w:rPr>
              <w:t>60 000,-€</w:t>
            </w:r>
          </w:p>
        </w:tc>
      </w:tr>
    </w:tbl>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t xml:space="preserve">  </w:t>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b/>
                <w:b/>
                <w:color w:val="548DD4" w:themeColor="text2" w:themeTint="99"/>
                <w:sz w:val="24"/>
                <w:szCs w:val="24"/>
                <w:lang w:eastAsia="cs-CZ"/>
              </w:rPr>
            </w:pPr>
            <w:r>
              <w:rPr>
                <w:rFonts w:eastAsia="Times New Roman" w:cs="Times New Roman" w:ascii="Times New Roman" w:hAnsi="Times New Roman"/>
                <w:b/>
                <w:kern w:val="0"/>
                <w:sz w:val="24"/>
                <w:szCs w:val="24"/>
                <w:lang w:val="sk-SK" w:eastAsia="cs-CZ" w:bidi="ar-SA"/>
              </w:rPr>
              <w:t>Projekty bez finančnej dotácie</w:t>
            </w:r>
          </w:p>
        </w:tc>
      </w:tr>
    </w:tbl>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03"/>
        <w:gridCol w:w="2303"/>
        <w:gridCol w:w="2303"/>
        <w:gridCol w:w="2302"/>
      </w:tblGrid>
      <w:tr>
        <w:trPr/>
        <w:tc>
          <w:tcPr>
            <w:tcW w:w="2303" w:type="dxa"/>
            <w:tcBorders/>
            <w:shd w:color="auto" w:fill="8DB3E2" w:themeFill="text2" w:themeFillTint="66" w:val="clear"/>
          </w:tcPr>
          <w:p>
            <w:pPr>
              <w:pStyle w:val="Normal"/>
              <w:widowControl/>
              <w:spacing w:lineRule="auto" w:line="240" w:before="0" w:after="0"/>
              <w:jc w:val="both"/>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Názov projektu</w:t>
            </w:r>
          </w:p>
        </w:tc>
        <w:tc>
          <w:tcPr>
            <w:tcW w:w="2303" w:type="dxa"/>
            <w:tcBorders/>
            <w:shd w:color="auto" w:fill="8DB3E2" w:themeFill="text2" w:themeFillTint="66" w:val="clear"/>
          </w:tcPr>
          <w:p>
            <w:pPr>
              <w:pStyle w:val="Normal"/>
              <w:widowControl/>
              <w:spacing w:lineRule="auto" w:line="240" w:before="0" w:after="0"/>
              <w:jc w:val="both"/>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Vyhlasovateľ</w:t>
            </w:r>
          </w:p>
        </w:tc>
        <w:tc>
          <w:tcPr>
            <w:tcW w:w="2303" w:type="dxa"/>
            <w:tcBorders/>
            <w:shd w:color="auto" w:fill="8DB3E2" w:themeFill="text2" w:themeFillTint="66" w:val="clear"/>
          </w:tcPr>
          <w:p>
            <w:pPr>
              <w:pStyle w:val="Normal"/>
              <w:widowControl/>
              <w:spacing w:lineRule="auto" w:line="240" w:before="0" w:after="0"/>
              <w:jc w:val="both"/>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Zapojenie</w:t>
            </w:r>
          </w:p>
        </w:tc>
        <w:tc>
          <w:tcPr>
            <w:tcW w:w="2302" w:type="dxa"/>
            <w:tcBorders/>
            <w:shd w:color="auto" w:fill="8DB3E2" w:themeFill="text2" w:themeFillTint="66" w:val="clear"/>
          </w:tcPr>
          <w:p>
            <w:pPr>
              <w:pStyle w:val="Normal"/>
              <w:widowControl/>
              <w:spacing w:lineRule="auto" w:line="240" w:before="0" w:after="0"/>
              <w:jc w:val="both"/>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Načo zameraný</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Music is life</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eTwinning</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Turecko, Grécko, Poľsko, Slovensko</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Hudba spája národy</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Turkish culture</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Erasmus+ KA2</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Turecko, Slovensko, Španiesko, Grécko</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Rozdiely v kultúre</w:t>
            </w:r>
          </w:p>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-neprešiel-</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Zachráňme prírodu, Zachráňme budúcnosť</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Erasmus+ KA2</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Turecko, Slovensko, Portugalsko, Rumunsko</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Životné prostredie</w:t>
            </w:r>
          </w:p>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-neprešiel-</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Číta celá škola</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KNB</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naša škola</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čitateľská gramotnosť</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Čítaním k tvorivosti</w:t>
            </w:r>
          </w:p>
        </w:tc>
        <w:tc>
          <w:tcPr>
            <w:tcW w:w="2303" w:type="dxa"/>
            <w:tcBorders/>
          </w:tcPr>
          <w:p>
            <w:pPr>
              <w:pStyle w:val="Normal"/>
              <w:widowControl/>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ZŠs MŠ Pod Vinbargom 1</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naša škola</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čitateľská gramotnosť</w:t>
            </w:r>
          </w:p>
        </w:tc>
      </w:tr>
      <w:tr>
        <w:trPr/>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sk-SK" w:bidi="ar-SA"/>
              </w:rPr>
              <w:t>Národný akčný plán v prevencii obezity</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MŠ SR</w:t>
            </w:r>
          </w:p>
        </w:tc>
        <w:tc>
          <w:tcPr>
            <w:tcW w:w="2303"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naša škola</w:t>
            </w:r>
          </w:p>
        </w:tc>
        <w:tc>
          <w:tcPr>
            <w:tcW w:w="2302" w:type="dxa"/>
            <w:tcBorders/>
          </w:tcPr>
          <w:p>
            <w:pPr>
              <w:pStyle w:val="Normal"/>
              <w:widowControl/>
              <w:spacing w:lineRule="auto" w:line="240" w:before="0" w:after="0"/>
              <w:jc w:val="both"/>
              <w:rPr>
                <w:sz w:val="24"/>
                <w:szCs w:val="24"/>
                <w:lang w:eastAsia="cs-CZ"/>
              </w:rPr>
            </w:pPr>
            <w:r>
              <w:rPr>
                <w:rFonts w:eastAsia="Times New Roman" w:cs="Times New Roman" w:ascii="Times New Roman" w:hAnsi="Times New Roman"/>
                <w:kern w:val="0"/>
                <w:sz w:val="24"/>
                <w:szCs w:val="24"/>
                <w:lang w:val="sk-SK" w:eastAsia="cs-CZ" w:bidi="ar-SA"/>
              </w:rPr>
              <w:t>zdravé stravovanie</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center"/>
              <w:rPr>
                <w:color w:val="C00000"/>
                <w:sz w:val="24"/>
                <w:szCs w:val="24"/>
                <w:lang w:eastAsia="cs-CZ"/>
              </w:rPr>
            </w:pPr>
            <w:r>
              <w:rPr>
                <w:rFonts w:eastAsia="Times New Roman" w:cs="Times New Roman" w:ascii="Times New Roman" w:hAnsi="Times New Roman"/>
                <w:b/>
                <w:bCs/>
                <w:color w:val="548DD4" w:themeColor="text2" w:themeTint="99"/>
                <w:kern w:val="0"/>
                <w:sz w:val="24"/>
                <w:szCs w:val="24"/>
                <w:lang w:val="sk-SK" w:eastAsia="cs-CZ" w:bidi="ar-SA"/>
              </w:rPr>
              <w:t xml:space="preserve"> </w:t>
            </w:r>
            <w:r>
              <w:rPr>
                <w:rFonts w:eastAsia="Times New Roman" w:cs="Times New Roman" w:ascii="Times New Roman" w:hAnsi="Times New Roman"/>
                <w:b/>
                <w:bCs/>
                <w:kern w:val="0"/>
                <w:sz w:val="24"/>
                <w:szCs w:val="24"/>
                <w:lang w:val="sk-SK" w:eastAsia="cs-CZ" w:bidi="ar-SA"/>
              </w:rPr>
              <w:t>Výsledky hodnotenia a klasifikácie žiakov</w:t>
            </w:r>
          </w:p>
        </w:tc>
      </w:tr>
    </w:tbl>
    <w:p>
      <w:pPr>
        <w:pStyle w:val="Normal"/>
        <w:spacing w:lineRule="auto" w:line="240" w:before="0" w:after="0"/>
        <w:rPr>
          <w:rFonts w:ascii="Times New Roman" w:hAnsi="Times New Roman" w:eastAsia="Times New Roman" w:cs="Times New Roman"/>
          <w:color w:val="C00000"/>
          <w:sz w:val="24"/>
          <w:szCs w:val="24"/>
          <w:lang w:eastAsia="cs-CZ"/>
        </w:rPr>
      </w:pPr>
      <w:r>
        <w:rPr>
          <w:rFonts w:eastAsia="Times New Roman" w:cs="Times New Roman" w:ascii="Times New Roman" w:hAnsi="Times New Roman"/>
          <w:color w:val="C00000"/>
          <w:sz w:val="24"/>
          <w:szCs w:val="24"/>
          <w:lang w:eastAsia="cs-CZ"/>
        </w:rPr>
      </w:r>
    </w:p>
    <w:p>
      <w:pPr>
        <w:pStyle w:val="Normal"/>
        <w:numPr>
          <w:ilvl w:val="0"/>
          <w:numId w:val="6"/>
        </w:numPr>
        <w:spacing w:lineRule="auto" w:line="240" w:before="0" w:after="0"/>
        <w:contextualSpacing/>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Hodnotenie prospechu za školu s porovnaním s predchádzajúcim rokom</w:t>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2022/2023  2.polrok</w:t>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345"/>
        <w:gridCol w:w="992"/>
        <w:gridCol w:w="994"/>
        <w:gridCol w:w="992"/>
        <w:gridCol w:w="992"/>
        <w:gridCol w:w="850"/>
        <w:gridCol w:w="992"/>
        <w:gridCol w:w="851"/>
        <w:gridCol w:w="992"/>
      </w:tblGrid>
      <w:tr>
        <w:trPr>
          <w:trHeight w:val="278" w:hRule="atLeast"/>
          <w:cantSplit w:val="true"/>
        </w:trPr>
        <w:tc>
          <w:tcPr>
            <w:tcW w:w="1345"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tried</w:t>
            </w:r>
          </w:p>
        </w:tc>
        <w:tc>
          <w:tcPr>
            <w:tcW w:w="994"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Prospeli</w:t>
            </w:r>
          </w:p>
        </w:tc>
        <w:tc>
          <w:tcPr>
            <w:tcW w:w="1842"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Neprospeli</w:t>
            </w:r>
          </w:p>
        </w:tc>
        <w:tc>
          <w:tcPr>
            <w:tcW w:w="1843"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Neklasifikovaní</w:t>
            </w:r>
          </w:p>
        </w:tc>
      </w:tr>
      <w:tr>
        <w:trPr>
          <w:trHeight w:val="277" w:hRule="atLeast"/>
          <w:cantSplit w:val="true"/>
        </w:trPr>
        <w:tc>
          <w:tcPr>
            <w:tcW w:w="1345"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2"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4"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850"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851"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 4.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11</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242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239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98,76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0,42</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0,83</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5. – 9.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16</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380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364</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95,79</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0,50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7</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2,37</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 9.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622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603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96,95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1,60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1,45</w:t>
            </w:r>
          </w:p>
        </w:tc>
      </w:tr>
    </w:tbl>
    <w:p>
      <w:pPr>
        <w:pStyle w:val="Normal"/>
        <w:spacing w:lineRule="auto" w:line="240" w:before="0" w:after="0"/>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color w:val="FF0000"/>
          <w:sz w:val="24"/>
          <w:szCs w:val="24"/>
          <w:lang w:eastAsia="cs-CZ"/>
        </w:rPr>
      </w:r>
    </w:p>
    <w:p>
      <w:pPr>
        <w:pStyle w:val="Normal"/>
        <w:spacing w:lineRule="auto" w:line="240" w:before="0" w:after="0"/>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color w:val="FF0000"/>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2021/2022  2. polrok</w:t>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345"/>
        <w:gridCol w:w="992"/>
        <w:gridCol w:w="994"/>
        <w:gridCol w:w="992"/>
        <w:gridCol w:w="992"/>
        <w:gridCol w:w="850"/>
        <w:gridCol w:w="851"/>
        <w:gridCol w:w="992"/>
        <w:gridCol w:w="992"/>
      </w:tblGrid>
      <w:tr>
        <w:trPr>
          <w:trHeight w:val="278" w:hRule="atLeast"/>
          <w:cantSplit w:val="true"/>
        </w:trPr>
        <w:tc>
          <w:tcPr>
            <w:tcW w:w="1345"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tried</w:t>
            </w:r>
          </w:p>
        </w:tc>
        <w:tc>
          <w:tcPr>
            <w:tcW w:w="994" w:type="dxa"/>
            <w:vMerge w:val="restart"/>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Prospeli</w:t>
            </w:r>
          </w:p>
        </w:tc>
        <w:tc>
          <w:tcPr>
            <w:tcW w:w="1701"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Neprospeli</w:t>
            </w:r>
          </w:p>
        </w:tc>
        <w:tc>
          <w:tcPr>
            <w:tcW w:w="1984" w:type="dxa"/>
            <w:gridSpan w:val="2"/>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Neklasifikovaní</w:t>
            </w:r>
          </w:p>
        </w:tc>
      </w:tr>
      <w:tr>
        <w:trPr>
          <w:trHeight w:val="277" w:hRule="atLeast"/>
          <w:cantSplit w:val="true"/>
        </w:trPr>
        <w:tc>
          <w:tcPr>
            <w:tcW w:w="1345"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2"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4" w:type="dxa"/>
            <w:vMerge w:val="continue"/>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850"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851"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keepNext w:val="true"/>
              <w:widowControl w:val="false"/>
              <w:numPr>
                <w:ilvl w:val="0"/>
                <w:numId w:val="0"/>
              </w:numPr>
              <w:spacing w:lineRule="auto" w:line="240" w:before="0" w:after="0"/>
              <w:jc w:val="center"/>
              <w:outlineLvl w:val="1"/>
              <w:rPr>
                <w:rFonts w:ascii="Times New Roman" w:hAnsi="Times New Roman" w:eastAsia="Arial Unicode MS" w:cs="Times New Roman"/>
                <w:b/>
                <w:b/>
                <w:bCs/>
                <w:i/>
                <w:i/>
                <w:color w:val="1F497D" w:themeColor="text2"/>
                <w:sz w:val="24"/>
                <w:szCs w:val="24"/>
                <w:lang w:eastAsia="cs-CZ"/>
              </w:rPr>
            </w:pPr>
            <w:r>
              <w:rPr>
                <w:rFonts w:eastAsia="Arial Unicode MS" w:cs="Times New Roman" w:ascii="Times New Roman" w:hAnsi="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 4.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10</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232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231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99,57</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0,43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0,00</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5. – 9.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392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390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99,49</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2</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0,51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0,00</w:t>
            </w:r>
          </w:p>
        </w:tc>
      </w:tr>
      <w:tr>
        <w:trPr/>
        <w:tc>
          <w:tcPr>
            <w:tcW w:w="13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 9. ročník</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27</w:t>
            </w:r>
          </w:p>
        </w:tc>
        <w:tc>
          <w:tcPr>
            <w:tcW w:w="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624</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621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99,52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0,48</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0,00</w:t>
            </w:r>
          </w:p>
        </w:tc>
      </w:tr>
    </w:tbl>
    <w:p>
      <w:pPr>
        <w:pStyle w:val="Normal"/>
        <w:spacing w:lineRule="auto" w:line="240" w:before="0" w:after="0"/>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color w:val="FF0000"/>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 xml:space="preserve">b) Hodnotenie správania za školu </w:t>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479"/>
        <w:gridCol w:w="1134"/>
        <w:gridCol w:w="1277"/>
        <w:gridCol w:w="1275"/>
        <w:gridCol w:w="1418"/>
        <w:gridCol w:w="1417"/>
      </w:tblGrid>
      <w:tr>
        <w:trPr/>
        <w:tc>
          <w:tcPr>
            <w:tcW w:w="2479"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color w:val="0070C0"/>
                <w:sz w:val="24"/>
                <w:szCs w:val="24"/>
                <w:lang w:eastAsia="cs-CZ"/>
              </w:rPr>
            </w:pPr>
            <w:r>
              <w:rPr>
                <w:rFonts w:eastAsia="Times New Roman" w:cs="Times New Roman" w:ascii="Times New Roman" w:hAnsi="Times New Roman"/>
                <w:b/>
                <w:bCs/>
                <w:color w:val="0070C0"/>
                <w:sz w:val="24"/>
                <w:szCs w:val="24"/>
                <w:lang w:eastAsia="cs-CZ"/>
              </w:rPr>
            </w:r>
          </w:p>
        </w:tc>
        <w:tc>
          <w:tcPr>
            <w:tcW w:w="1134"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1. stupeň</w:t>
            </w:r>
          </w:p>
        </w:tc>
        <w:tc>
          <w:tcPr>
            <w:tcW w:w="127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1275"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2. stupeň</w:t>
            </w:r>
          </w:p>
        </w:tc>
        <w:tc>
          <w:tcPr>
            <w:tcW w:w="1418"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c>
          <w:tcPr>
            <w:tcW w:w="141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za ZŠ</w:t>
            </w:r>
          </w:p>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w:t>
            </w:r>
          </w:p>
        </w:tc>
      </w:tr>
      <w:tr>
        <w:trPr/>
        <w:tc>
          <w:tcPr>
            <w:tcW w:w="24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Správanie </w:t>
            </w:r>
            <w:r>
              <w:rPr>
                <w:rFonts w:eastAsia="Times New Roman" w:cs="Times New Roman" w:ascii="Times New Roman" w:hAnsi="Times New Roman"/>
                <w:b/>
                <w:bCs/>
                <w:sz w:val="24"/>
                <w:szCs w:val="24"/>
                <w:lang w:eastAsia="cs-CZ"/>
              </w:rPr>
              <w:t>2</w:t>
            </w:r>
            <w:r>
              <w:rPr>
                <w:rFonts w:eastAsia="Times New Roman" w:cs="Times New Roman" w:ascii="Times New Roman" w:hAnsi="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1,05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0,64</w:t>
            </w:r>
          </w:p>
        </w:tc>
      </w:tr>
      <w:tr>
        <w:trPr/>
        <w:tc>
          <w:tcPr>
            <w:tcW w:w="24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Správanie </w:t>
            </w:r>
            <w:r>
              <w:rPr>
                <w:rFonts w:eastAsia="Times New Roman" w:cs="Times New Roman" w:ascii="Times New Roman" w:hAnsi="Times New Roman"/>
                <w:b/>
                <w:bCs/>
                <w:sz w:val="24"/>
                <w:szCs w:val="24"/>
                <w:lang w:eastAsia="cs-CZ"/>
              </w:rPr>
              <w:t>3</w:t>
            </w:r>
            <w:r>
              <w:rPr>
                <w:rFonts w:eastAsia="Times New Roman" w:cs="Times New Roman" w:ascii="Times New Roman" w:hAnsi="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5</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1,32</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0,80</w:t>
            </w:r>
          </w:p>
        </w:tc>
      </w:tr>
      <w:tr>
        <w:trPr/>
        <w:tc>
          <w:tcPr>
            <w:tcW w:w="24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Správanie </w:t>
            </w:r>
            <w:r>
              <w:rPr>
                <w:rFonts w:eastAsia="Times New Roman" w:cs="Times New Roman" w:ascii="Times New Roman" w:hAnsi="Times New Roman"/>
                <w:b/>
                <w:bCs/>
                <w:sz w:val="24"/>
                <w:szCs w:val="24"/>
                <w:lang w:eastAsia="cs-CZ"/>
              </w:rPr>
              <w:t>4</w:t>
            </w:r>
            <w:r>
              <w:rPr>
                <w:rFonts w:eastAsia="Times New Roman" w:cs="Times New Roman" w:ascii="Times New Roman" w:hAnsi="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0,79</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0,48</w:t>
            </w:r>
          </w:p>
        </w:tc>
      </w:tr>
      <w:tr>
        <w:trPr/>
        <w:tc>
          <w:tcPr>
            <w:tcW w:w="24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Riaditeľské pochvaly</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60</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15,79</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9,65</w:t>
            </w:r>
          </w:p>
        </w:tc>
      </w:tr>
      <w:tr>
        <w:trPr/>
        <w:tc>
          <w:tcPr>
            <w:tcW w:w="24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sz w:val="24"/>
                <w:szCs w:val="24"/>
                <w:lang w:eastAsia="cs-CZ"/>
              </w:rPr>
              <w:t>Riaditeľské pokarhania</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1,58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0,96</w:t>
            </w:r>
          </w:p>
        </w:tc>
      </w:tr>
    </w:tbl>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c) Hodnotenie dochádzky</w:t>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912"/>
        <w:gridCol w:w="1277"/>
        <w:gridCol w:w="1276"/>
        <w:gridCol w:w="1417"/>
        <w:gridCol w:w="1417"/>
        <w:gridCol w:w="1701"/>
      </w:tblGrid>
      <w:tr>
        <w:trPr/>
        <w:tc>
          <w:tcPr>
            <w:tcW w:w="191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Počet vymeškaných hodín</w:t>
            </w:r>
          </w:p>
        </w:tc>
        <w:tc>
          <w:tcPr>
            <w:tcW w:w="127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1. stupeň</w:t>
            </w:r>
          </w:p>
        </w:tc>
        <w:tc>
          <w:tcPr>
            <w:tcW w:w="1276"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Priemer na žiaka</w:t>
            </w:r>
          </w:p>
        </w:tc>
        <w:tc>
          <w:tcPr>
            <w:tcW w:w="141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2. stupeň</w:t>
            </w:r>
          </w:p>
        </w:tc>
        <w:tc>
          <w:tcPr>
            <w:tcW w:w="141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Priemer na žiaka</w:t>
            </w:r>
          </w:p>
        </w:tc>
        <w:tc>
          <w:tcPr>
            <w:tcW w:w="1701"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cs-CZ"/>
              </w:rPr>
            </w:pPr>
            <w:r>
              <w:rPr>
                <w:rFonts w:eastAsia="Times New Roman" w:cs="Times New Roman" w:ascii="Times New Roman" w:hAnsi="Times New Roman"/>
                <w:b/>
                <w:bCs/>
                <w:i/>
                <w:color w:val="1F497D" w:themeColor="text2"/>
                <w:sz w:val="24"/>
                <w:szCs w:val="24"/>
                <w:lang w:eastAsia="cs-CZ"/>
              </w:rPr>
              <w:t>Priemer za ZŠ</w:t>
            </w:r>
          </w:p>
        </w:tc>
      </w:tr>
      <w:tr>
        <w:trPr/>
        <w:tc>
          <w:tcPr>
            <w:tcW w:w="19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Spolu 1. polrok</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11 769</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color w:val="FF0000"/>
                <w:sz w:val="24"/>
                <w:szCs w:val="24"/>
                <w:lang w:eastAsia="cs-CZ"/>
              </w:rPr>
            </w:pPr>
            <w:r>
              <w:rPr>
                <w:rFonts w:eastAsia="Times New Roman" w:cs="Times New Roman" w:ascii="Times New Roman" w:hAnsi="Times New Roman"/>
                <w:b/>
                <w:bCs/>
                <w:sz w:val="24"/>
                <w:szCs w:val="24"/>
                <w:lang w:eastAsia="cs-CZ"/>
              </w:rPr>
              <w:t>48,83</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21 505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57,04</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33 274/53,84</w:t>
            </w:r>
          </w:p>
        </w:tc>
      </w:tr>
      <w:tr>
        <w:trPr/>
        <w:tc>
          <w:tcPr>
            <w:tcW w:w="19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Spolu 2. polrok</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14 823</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61,25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27 445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72,22</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42 268/67,95</w:t>
            </w:r>
          </w:p>
        </w:tc>
      </w:tr>
      <w:tr>
        <w:trPr/>
        <w:tc>
          <w:tcPr>
            <w:tcW w:w="19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Spolu za rok</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26 592</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109,88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48 950</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112,16</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75 542/121,45</w:t>
            </w:r>
          </w:p>
        </w:tc>
      </w:tr>
      <w:tr>
        <w:trPr/>
        <w:tc>
          <w:tcPr>
            <w:tcW w:w="19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Osprav./rok</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26 592</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109,88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48 528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78,02</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75 120/120,77</w:t>
            </w:r>
          </w:p>
        </w:tc>
      </w:tr>
      <w:tr>
        <w:trPr/>
        <w:tc>
          <w:tcPr>
            <w:tcW w:w="19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Neospr./rok</w:t>
            </w:r>
          </w:p>
        </w:tc>
        <w:tc>
          <w:tcPr>
            <w:tcW w:w="12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0,00</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422</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1,11</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422/1,11</w:t>
            </w:r>
          </w:p>
        </w:tc>
      </w:tr>
    </w:tbl>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Cs/>
          <w:i/>
          <w:i/>
          <w:sz w:val="24"/>
          <w:szCs w:val="24"/>
          <w:lang w:eastAsia="cs-CZ"/>
        </w:rPr>
      </w:pPr>
      <w:r>
        <w:rPr>
          <w:rFonts w:eastAsia="Times New Roman" w:cs="Times New Roman" w:ascii="Times New Roman" w:hAnsi="Times New Roman"/>
          <w:bCs/>
          <w:i/>
          <w:sz w:val="24"/>
          <w:szCs w:val="24"/>
          <w:lang w:eastAsia="cs-CZ"/>
        </w:rPr>
        <w:t>d) Údaje o prospechu žiakov k 31.8.2023</w:t>
      </w:r>
    </w:p>
    <w:tbl>
      <w:tblPr>
        <w:tblW w:w="93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196"/>
        <w:gridCol w:w="567"/>
        <w:gridCol w:w="709"/>
        <w:gridCol w:w="567"/>
        <w:gridCol w:w="566"/>
        <w:gridCol w:w="709"/>
        <w:gridCol w:w="568"/>
        <w:gridCol w:w="567"/>
        <w:gridCol w:w="567"/>
        <w:gridCol w:w="566"/>
        <w:gridCol w:w="567"/>
        <w:gridCol w:w="567"/>
        <w:gridCol w:w="642"/>
      </w:tblGrid>
      <w:tr>
        <w:trPr/>
        <w:tc>
          <w:tcPr>
            <w:tcW w:w="2196"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both"/>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Ročník</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1.</w:t>
            </w:r>
          </w:p>
        </w:tc>
        <w:tc>
          <w:tcPr>
            <w:tcW w:w="709"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3.</w:t>
            </w:r>
          </w:p>
        </w:tc>
        <w:tc>
          <w:tcPr>
            <w:tcW w:w="566"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4.</w:t>
            </w:r>
          </w:p>
        </w:tc>
        <w:tc>
          <w:tcPr>
            <w:tcW w:w="709"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1. st.</w:t>
            </w:r>
          </w:p>
        </w:tc>
        <w:tc>
          <w:tcPr>
            <w:tcW w:w="568"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5.</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6.</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7.</w:t>
            </w:r>
          </w:p>
        </w:tc>
        <w:tc>
          <w:tcPr>
            <w:tcW w:w="566"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8.</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9.</w:t>
            </w:r>
          </w:p>
        </w:tc>
        <w:tc>
          <w:tcPr>
            <w:tcW w:w="567"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2.st.</w:t>
            </w:r>
          </w:p>
        </w:tc>
        <w:tc>
          <w:tcPr>
            <w:tcW w:w="642" w:type="dxa"/>
            <w:tcBorders>
              <w:top w:val="single" w:sz="6" w:space="0" w:color="000000"/>
              <w:left w:val="single" w:sz="6" w:space="0" w:color="000000"/>
              <w:bottom w:val="single" w:sz="6" w:space="0" w:color="000000"/>
              <w:right w:val="single" w:sz="6" w:space="0" w:color="000000"/>
            </w:tcBorders>
            <w:shd w:color="auto" w:fill="8DB3E2" w:themeFill="text2" w:themeFillTint="66" w:val="clear"/>
          </w:tcPr>
          <w:p>
            <w:pPr>
              <w:pStyle w:val="Normal"/>
              <w:widowControl w:val="false"/>
              <w:spacing w:lineRule="auto" w:line="240" w:before="0" w:after="0"/>
              <w:jc w:val="center"/>
              <w:rPr>
                <w:rFonts w:ascii="Times New Roman" w:hAnsi="Times New Roman" w:eastAsia="Times New Roman" w:cs="Times New Roman"/>
                <w:b/>
                <w:b/>
                <w:i/>
                <w:i/>
                <w:color w:val="1F497D" w:themeColor="text2"/>
                <w:sz w:val="24"/>
                <w:szCs w:val="24"/>
                <w:lang w:eastAsia="cs-CZ"/>
              </w:rPr>
            </w:pPr>
            <w:r>
              <w:rPr>
                <w:rFonts w:eastAsia="Times New Roman" w:cs="Times New Roman" w:ascii="Times New Roman" w:hAnsi="Times New Roman"/>
                <w:b/>
                <w:i/>
                <w:color w:val="1F497D" w:themeColor="text2"/>
                <w:sz w:val="24"/>
                <w:szCs w:val="24"/>
                <w:lang w:eastAsia="cs-CZ"/>
              </w:rPr>
              <w:t>1.-9.</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žiakov</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69</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55</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69</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49</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242</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67</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77</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81</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84</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71</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380</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622</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 toho prospeli</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68</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54</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69</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48</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239</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67</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74</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77</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81</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65</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364</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603</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16"/>
                <w:szCs w:val="16"/>
                <w:lang w:eastAsia="cs-CZ"/>
              </w:rPr>
            </w:pPr>
            <w:r>
              <w:rPr>
                <w:rFonts w:eastAsia="Times New Roman" w:cs="Times New Roman" w:ascii="Times New Roman" w:hAnsi="Times New Roman"/>
                <w:sz w:val="16"/>
                <w:szCs w:val="16"/>
                <w:lang w:eastAsia="cs-CZ"/>
              </w:rPr>
              <w:t>z toho neprospeli a robili opravné skúšky</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lang w:eastAsia="cs-CZ"/>
              </w:rPr>
            </w:pPr>
            <w:r>
              <w:rPr>
                <w:rFonts w:eastAsia="Times New Roman" w:cs="Times New Roman" w:ascii="Times New Roman" w:hAnsi="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neklasifikovaní</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opakuje ročník</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309" w:leader="none"/>
              </w:tabs>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r>
      <w:tr>
        <w:trPr/>
        <w:tc>
          <w:tcPr>
            <w:tcW w:w="21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končiaci 10. rok</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309" w:leader="none"/>
              </w:tabs>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r>
    </w:tbl>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 uvedenej tabuľky vyplýva, že len 3</w:t>
      </w:r>
      <w:r>
        <w:rPr>
          <w:rFonts w:eastAsia="Times New Roman" w:cs="Times New Roman" w:ascii="Times New Roman" w:hAnsi="Times New Roman"/>
          <w:color w:val="FF0000"/>
          <w:sz w:val="24"/>
          <w:szCs w:val="24"/>
          <w:lang w:eastAsia="cs-CZ"/>
        </w:rPr>
        <w:t xml:space="preserve"> </w:t>
      </w:r>
      <w:r>
        <w:rPr>
          <w:rFonts w:eastAsia="Times New Roman" w:cs="Times New Roman" w:ascii="Times New Roman" w:hAnsi="Times New Roman"/>
          <w:sz w:val="24"/>
          <w:szCs w:val="24"/>
          <w:lang w:eastAsia="cs-CZ"/>
        </w:rPr>
        <w:t>žiaci  neprospeli z celkového počtu 622 a 3 žiaci končia 10 rok školskej dochádzky a neprospeli. Tento neprospech je spôsobený nedostatočnou domácou prípravou.</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hd w:val="clear" w:color="auto" w:fill="FFFFFF"/>
        <w:jc w:val="both"/>
        <w:rPr>
          <w:rFonts w:ascii="Calibri" w:hAnsi="Calibri" w:eastAsia="Times New Roman" w:cs="Calibri"/>
          <w:color w:val="222222"/>
          <w:lang w:eastAsia="sk-SK"/>
        </w:rPr>
      </w:pPr>
      <w:r>
        <w:rPr>
          <w:color w:val="FF0000"/>
        </w:rPr>
        <w:tab/>
      </w:r>
      <w:r>
        <w:rPr/>
        <w:t xml:space="preserve"> </w:t>
      </w:r>
      <w:r>
        <w:rPr>
          <w:rFonts w:eastAsia="Times New Roman" w:cs="Times New Roman" w:ascii="Times New Roman" w:hAnsi="Times New Roman"/>
          <w:color w:val="222222"/>
          <w:sz w:val="24"/>
          <w:szCs w:val="24"/>
          <w:lang w:eastAsia="sk-SK"/>
        </w:rPr>
        <w:t>V dňoch od 20.04.2022 do 22.04.2022 Štátna školská inšpekcia vykonala tematickú so zameraním na prácu pedagogického asistenta so žiakmi so zdravotným znevýhodnením.</w:t>
      </w:r>
    </w:p>
    <w:p>
      <w:pPr>
        <w:pStyle w:val="Normal"/>
        <w:shd w:val="clear" w:color="auto" w:fill="FFFFFF"/>
        <w:spacing w:lineRule="auto" w:line="240" w:before="0" w:after="0"/>
        <w:rPr>
          <w:rFonts w:ascii="Calibri" w:hAnsi="Calibri" w:eastAsia="Times New Roman" w:cs="Calibri"/>
          <w:b/>
          <w:b/>
          <w:color w:val="222222"/>
          <w:lang w:eastAsia="sk-SK"/>
        </w:rPr>
      </w:pPr>
      <w:r>
        <w:rPr>
          <w:rFonts w:eastAsia="Times New Roman" w:cs="Times New Roman" w:ascii="Times New Roman" w:hAnsi="Times New Roman"/>
          <w:b/>
          <w:color w:val="222222"/>
          <w:sz w:val="24"/>
          <w:szCs w:val="24"/>
          <w:lang w:eastAsia="sk-SK"/>
        </w:rPr>
        <w:t>Záver ŠŠI:</w:t>
      </w:r>
    </w:p>
    <w:p>
      <w:pPr>
        <w:pStyle w:val="Normal"/>
        <w:shd w:val="clear" w:color="auto" w:fill="FFFFFF"/>
        <w:spacing w:lineRule="auto" w:line="240" w:before="0" w:after="0"/>
        <w:jc w:val="both"/>
        <w:rPr>
          <w:rFonts w:ascii="Calibri" w:hAnsi="Calibri" w:eastAsia="Times New Roman" w:cs="Calibri"/>
          <w:color w:val="222222"/>
          <w:lang w:eastAsia="sk-SK"/>
        </w:rPr>
      </w:pPr>
      <w:r>
        <w:rPr>
          <w:rFonts w:eastAsia="Times New Roman" w:cs="Times New Roman" w:ascii="Times New Roman" w:hAnsi="Times New Roman"/>
          <w:color w:val="222222"/>
          <w:sz w:val="24"/>
          <w:szCs w:val="24"/>
          <w:lang w:eastAsia="sk-SK"/>
        </w:rPr>
        <w:t xml:space="preserve">            </w:t>
      </w:r>
      <w:r>
        <w:rPr>
          <w:rFonts w:eastAsia="Times New Roman" w:cs="Times New Roman" w:ascii="Times New Roman" w:hAnsi="Times New Roman"/>
          <w:color w:val="222222"/>
          <w:sz w:val="24"/>
          <w:szCs w:val="24"/>
          <w:lang w:eastAsia="sk-SK"/>
        </w:rPr>
        <w:t>Škola pri výchove a vzdelávaní žiakov so ZZ účelne a efektívne využívala služby školskej špeciálnej pedagogičky a pomoc 9 kvalifikovaných PA, čím žiakom vytvorila vhodné podmienky na prekonanie bariér vyplývajúcich z ich ZZ. V zhode s náplňou práce bola činnosť PA prioritne zameraná na priamu prácu so žiakmi so ZZ v triedach a koordinovanú spoluprácu s učiteľmi pri organizovaní činností žiaka v rámci výchovno-vzdelávacieho procesu. Pri práci so žiakmi so ZZ v triede PA poznali svoje kompetencie, silné a slabé stránky žiaka, pričom pri priamej činnosti v triedach využívali formy a metódy práce zohľadňujúce špeciálne výchovno-vzdelávacie potreby žiakov. Dokumentácia žiakov so ZZ bola vedená v súlade s právnymi predpismi a v IVP žiakov zapracované odporúčania centier poradenstva a prevencie boli vo vyučovacom procese uplatňované PA i vyučujúcimi.</w:t>
      </w:r>
    </w:p>
    <w:p>
      <w:pPr>
        <w:pStyle w:val="Normal"/>
        <w:shd w:val="clear" w:color="auto" w:fill="FFFFFF"/>
        <w:spacing w:lineRule="auto" w:line="24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t xml:space="preserve">            </w:t>
      </w:r>
      <w:r>
        <w:rPr>
          <w:rFonts w:eastAsia="Times New Roman" w:cs="Times New Roman" w:ascii="Times New Roman" w:hAnsi="Times New Roman"/>
          <w:color w:val="222222"/>
          <w:sz w:val="24"/>
          <w:szCs w:val="24"/>
          <w:lang w:eastAsia="sk-SK"/>
        </w:rPr>
        <w:t>PA sa považovali za rovnocenných členov pedagogického kolektívu, zúčastňovali a aktívne sa zapájali do diskusií s vyučujúcimi na zasadnutiach pedagogickej rady, absentovali však na zasadnutiach metodických orgánov školy. Vyučujúci potvrdili pozitívny prínos pôsobenia PA vo výchovno-vzdelávacom procese predovšetkým z hľadiska ich cielenej individuálnej pomoci žiakom počas vyučovacích hodín, vytvárania prostredia primeraného kognitívnej úrovni jednotlivých žiakov, poskytovania spätnej väzby učiteľom, ako aj vytvárania podporujúcej a priateľskej atmosféry v triede.</w:t>
      </w:r>
    </w:p>
    <w:p>
      <w:pPr>
        <w:pStyle w:val="Normal"/>
        <w:shd w:val="clear" w:color="auto" w:fill="FFFFFF"/>
        <w:spacing w:lineRule="auto" w:line="240" w:before="0" w:after="0"/>
        <w:jc w:val="both"/>
        <w:rPr>
          <w:rFonts w:ascii="Calibri" w:hAnsi="Calibri" w:eastAsia="Times New Roman" w:cs="Calibri"/>
          <w:color w:val="222222"/>
          <w:lang w:eastAsia="sk-SK"/>
        </w:rPr>
      </w:pPr>
      <w:r>
        <w:rPr>
          <w:rFonts w:eastAsia="Times New Roman" w:cs="Calibri"/>
          <w:color w:val="222222"/>
          <w:lang w:eastAsia="sk-SK"/>
        </w:rPr>
      </w:r>
    </w:p>
    <w:p>
      <w:pPr>
        <w:pStyle w:val="Normal"/>
        <w:shd w:val="clear" w:color="auto" w:fill="FFFFFF"/>
        <w:spacing w:lineRule="auto" w:line="240" w:before="0" w:after="0"/>
        <w:jc w:val="both"/>
        <w:rPr>
          <w:rFonts w:ascii="Calibri" w:hAnsi="Calibri" w:eastAsia="Times New Roman" w:cs="Calibri"/>
          <w:color w:val="222222"/>
          <w:lang w:eastAsia="sk-SK"/>
        </w:rPr>
      </w:pPr>
      <w:r>
        <w:rPr>
          <w:rFonts w:eastAsia="Times New Roman" w:cs="Times New Roman" w:ascii="Times New Roman" w:hAnsi="Times New Roman"/>
          <w:b/>
          <w:bCs/>
          <w:color w:val="222222"/>
          <w:sz w:val="24"/>
          <w:szCs w:val="24"/>
          <w:lang w:eastAsia="sk-SK"/>
        </w:rPr>
        <w:t>Opatrenia: </w:t>
      </w:r>
      <w:r>
        <w:rPr>
          <w:rFonts w:eastAsia="Times New Roman" w:cs="Times New Roman" w:ascii="Times New Roman" w:hAnsi="Times New Roman"/>
          <w:color w:val="222222"/>
          <w:sz w:val="24"/>
          <w:szCs w:val="24"/>
          <w:lang w:eastAsia="sk-SK"/>
        </w:rPr>
        <w:t>v organizácii vyučovania zaradiť obedňajšiu prestávku pre žiakov školy v rozsahu minimálne 30 minút v súlade s platným právnym predpisom.</w:t>
      </w:r>
    </w:p>
    <w:p>
      <w:pPr>
        <w:pStyle w:val="Normal"/>
        <w:spacing w:lineRule="auto" w:line="240" w:before="0" w:after="0"/>
        <w:rPr/>
      </w:pPr>
      <w:r>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cs="Times New Roman" w:ascii="Times New Roman" w:hAnsi="Times New Roman"/>
          <w:b/>
          <w:color w:val="548DD4" w:themeColor="text2" w:themeTint="99"/>
          <w:sz w:val="24"/>
          <w:szCs w:val="24"/>
        </w:rPr>
        <w:t>Priestorové a materiálno-technické podmienky školy</w:t>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
        <w:t xml:space="preserve">Škola využíva všetky priestory pre vlastnú potrebu. Tie priestory, ktoré nebolo potrebné využívať pre výučbu, sme poskytli záujemcom o prenájom – Súkromnej základnej umeleckej škole v Bardejove a Súkromným detským jasliam. </w:t>
      </w:r>
    </w:p>
    <w:p>
      <w:pPr>
        <w:pStyle w:val="Normal"/>
        <w:tabs>
          <w:tab w:val="clear" w:pos="708"/>
          <w:tab w:val="left" w:pos="3828" w:leader="none"/>
        </w:tabs>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Žiaci majú k dispozícii 3 telocvične, 2 posilňovne, 2 dielne, cvičnú kuchyňu, odborné učebne prírodopisu, fyziky, chémie, 3 učebne informatiky, učebňu SJL, 3 učebne ANJ, 1 učebňa RUJ, 1 učebňa pre žiakov s poruchami učenia a správania, herne pre ŠKD a žiacku knižnicu. Vonkajší areál je tvorený 1 asfaltovým volejbalovým ihriskom a futbalovým ihriskom, žiaľ bez atletického oválu.</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Na škole máme tri učebne informatiky, ktoré sa dopoludnia využívajú na povinnú výučbu práce s PC a popoludní na krúžkovú činnosť. V týchto učebniach sa však realizujú aj hodiny cudzích jazykov, hodiny slovenského jazyka, prírodovedných predmetov. Učebne sú vybavené multimediálnymi počítačmi a sú pripojené na internet. Internet je zavedený do všetkých tried na škole a kabinetov. Priestorové a materiálno-technické vybavenie školy poskytuje nadštandardné podmienky pre výchovno-vyučovací proces.</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škole sú zrekonštruované sociálne zariadenia pre žiakov. Prerobili sme žiacku kuchyňu na výučbu a krúžkovú činnosť. V jednom krídle budovy je umiestnená materská škola, ktorú navštevuje 65 detí.</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Škola sa nachádza v prekrásnom prostredí na okraji mesta v blízkosti autobusovej a železničnej stanice. </w:t>
      </w:r>
    </w:p>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0"/>
        <w:rPr>
          <w:rFonts w:ascii="Times New Roman" w:hAnsi="Times New Roman" w:eastAsia="Times New Roman" w:cs="Times New Roman"/>
          <w:b/>
          <w:b/>
          <w:bCs/>
          <w:color w:val="548DD4" w:themeColor="text2" w:themeTint="99"/>
          <w:sz w:val="24"/>
          <w:szCs w:val="24"/>
          <w:lang w:eastAsia="cs-CZ"/>
        </w:rPr>
      </w:pPr>
      <w:r>
        <w:rPr>
          <w:rFonts w:cs="Times New Roman" w:ascii="Times New Roman" w:hAnsi="Times New Roman"/>
          <w:b/>
          <w:color w:val="548DD4" w:themeColor="text2" w:themeTint="99"/>
          <w:sz w:val="24"/>
          <w:szCs w:val="24"/>
        </w:rPr>
        <w:t>Finančné a hmotné zabezpečenie výchovno-vzdelávacej činnosti školy</w:t>
      </w:r>
    </w:p>
    <w:p>
      <w:pPr>
        <w:pStyle w:val="Normal"/>
        <w:spacing w:lineRule="auto" w:line="240" w:before="0" w:after="0"/>
        <w:ind w:left="360" w:hanging="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8"/>
        <w:gridCol w:w="3402"/>
        <w:gridCol w:w="4110"/>
      </w:tblGrid>
      <w:tr>
        <w:trPr/>
        <w:tc>
          <w:tcPr>
            <w:tcW w:w="1668" w:type="dxa"/>
            <w:tcBorders/>
            <w:shd w:color="auto" w:fill="8DB3E2" w:themeFill="text2" w:themeFillTint="66" w:val="clear"/>
          </w:tcPr>
          <w:p>
            <w:pPr>
              <w:pStyle w:val="Normal"/>
              <w:widowControl/>
              <w:spacing w:lineRule="auto" w:line="240" w:before="0" w:after="0"/>
              <w:jc w:val="center"/>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Rok</w:t>
            </w:r>
          </w:p>
        </w:tc>
        <w:tc>
          <w:tcPr>
            <w:tcW w:w="3402" w:type="dxa"/>
            <w:tcBorders/>
            <w:shd w:color="auto" w:fill="8DB3E2" w:themeFill="text2" w:themeFillTint="66" w:val="clear"/>
          </w:tcPr>
          <w:p>
            <w:pPr>
              <w:pStyle w:val="Normal"/>
              <w:widowControl/>
              <w:spacing w:lineRule="auto" w:line="240" w:before="0" w:after="0"/>
              <w:jc w:val="center"/>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Výška normatívu na stránke MŠ SR</w:t>
            </w:r>
          </w:p>
        </w:tc>
        <w:tc>
          <w:tcPr>
            <w:tcW w:w="4110" w:type="dxa"/>
            <w:tcBorders/>
            <w:shd w:color="auto" w:fill="8DB3E2" w:themeFill="text2" w:themeFillTint="66" w:val="clear"/>
          </w:tcPr>
          <w:p>
            <w:pPr>
              <w:pStyle w:val="Normal"/>
              <w:widowControl/>
              <w:spacing w:lineRule="auto" w:line="240" w:before="0" w:after="0"/>
              <w:jc w:val="center"/>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Skutočné čerpanie - %</w:t>
            </w:r>
          </w:p>
          <w:p>
            <w:pPr>
              <w:pStyle w:val="Normal"/>
              <w:widowControl/>
              <w:spacing w:lineRule="auto" w:line="240" w:before="0" w:after="0"/>
              <w:jc w:val="center"/>
              <w:rPr>
                <w:b/>
                <w:b/>
                <w:i/>
                <w:i/>
                <w:color w:val="1F497D" w:themeColor="text2"/>
                <w:sz w:val="24"/>
                <w:szCs w:val="24"/>
                <w:lang w:eastAsia="cs-CZ"/>
              </w:rPr>
            </w:pPr>
            <w:r>
              <w:rPr>
                <w:rFonts w:eastAsia="Times New Roman" w:cs="Times New Roman" w:ascii="Times New Roman" w:hAnsi="Times New Roman"/>
                <w:b/>
                <w:i/>
                <w:color w:val="1F497D" w:themeColor="text2"/>
                <w:kern w:val="0"/>
                <w:sz w:val="24"/>
                <w:szCs w:val="24"/>
                <w:lang w:val="sk-SK" w:eastAsia="cs-CZ" w:bidi="ar-SA"/>
              </w:rPr>
              <w:t>Pridelený rozpočet zriaďovateľom</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2015</w:t>
            </w:r>
          </w:p>
        </w:tc>
        <w:tc>
          <w:tcPr>
            <w:tcW w:w="3402" w:type="dxa"/>
            <w:tcBorders/>
          </w:tcPr>
          <w:p>
            <w:pPr>
              <w:pStyle w:val="Normal"/>
              <w:widowControl/>
              <w:spacing w:lineRule="auto" w:line="240" w:before="0" w:after="0"/>
              <w:jc w:val="left"/>
              <w:rPr>
                <w:b/>
                <w:b/>
                <w:color w:val="C00000"/>
                <w:sz w:val="24"/>
                <w:szCs w:val="24"/>
                <w:lang w:eastAsia="cs-CZ"/>
              </w:rPr>
            </w:pPr>
            <w:r>
              <w:rPr>
                <w:rFonts w:eastAsia="Times New Roman" w:cs="Times New Roman" w:ascii="Times New Roman" w:hAnsi="Times New Roman"/>
                <w:b/>
                <w:color w:val="C00000"/>
                <w:kern w:val="0"/>
                <w:sz w:val="20"/>
                <w:szCs w:val="20"/>
                <w:lang w:val="sk-SK" w:eastAsia="sk-SK" w:bidi="ar-SA"/>
              </w:rPr>
            </w:r>
          </w:p>
        </w:tc>
        <w:tc>
          <w:tcPr>
            <w:tcW w:w="4110" w:type="dxa"/>
            <w:tcBorders/>
          </w:tcPr>
          <w:p>
            <w:pPr>
              <w:pStyle w:val="Normal"/>
              <w:widowControl/>
              <w:spacing w:lineRule="auto" w:line="240" w:before="0" w:after="0"/>
              <w:jc w:val="center"/>
              <w:rPr>
                <w:b/>
                <w:b/>
                <w:color w:val="C00000"/>
                <w:sz w:val="24"/>
                <w:szCs w:val="24"/>
                <w:lang w:eastAsia="cs-CZ"/>
              </w:rPr>
            </w:pPr>
            <w:r>
              <w:rPr>
                <w:rFonts w:eastAsia="Times New Roman" w:cs="Times New Roman" w:ascii="Times New Roman" w:hAnsi="Times New Roman"/>
                <w:b/>
                <w:bCs/>
                <w:kern w:val="0"/>
                <w:sz w:val="24"/>
                <w:szCs w:val="24"/>
                <w:lang w:val="sk-SK" w:eastAsia="sk-SK" w:bidi="ar-SA"/>
              </w:rPr>
              <w:t>962 049,- €</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2016</w:t>
            </w:r>
          </w:p>
        </w:tc>
        <w:tc>
          <w:tcPr>
            <w:tcW w:w="3402" w:type="dxa"/>
            <w:tcBorders/>
          </w:tcPr>
          <w:p>
            <w:pPr>
              <w:pStyle w:val="Normal"/>
              <w:widowControl/>
              <w:spacing w:lineRule="auto" w:line="240" w:before="0" w:after="0"/>
              <w:jc w:val="center"/>
              <w:rPr>
                <w:b/>
                <w:b/>
                <w:color w:val="C00000"/>
                <w:sz w:val="24"/>
                <w:szCs w:val="24"/>
                <w:lang w:eastAsia="cs-CZ"/>
              </w:rPr>
            </w:pPr>
            <w:r>
              <w:rPr>
                <w:rFonts w:eastAsia="Times New Roman" w:cs="Times New Roman" w:ascii="Times New Roman" w:hAnsi="Times New Roman"/>
                <w:b/>
                <w:color w:val="C00000"/>
                <w:kern w:val="0"/>
                <w:sz w:val="20"/>
                <w:szCs w:val="20"/>
                <w:lang w:val="sk-SK" w:eastAsia="sk-SK" w:bidi="ar-SA"/>
              </w:rPr>
            </w:r>
          </w:p>
        </w:tc>
        <w:tc>
          <w:tcPr>
            <w:tcW w:w="4110" w:type="dxa"/>
            <w:tcBorders/>
          </w:tcPr>
          <w:p>
            <w:pPr>
              <w:pStyle w:val="Normal"/>
              <w:widowControl/>
              <w:spacing w:lineRule="auto" w:line="240" w:before="0" w:after="0"/>
              <w:jc w:val="center"/>
              <w:rPr>
                <w:b/>
                <w:b/>
                <w:color w:val="C00000"/>
                <w:sz w:val="24"/>
                <w:szCs w:val="24"/>
                <w:lang w:eastAsia="cs-CZ"/>
              </w:rPr>
            </w:pPr>
            <w:r>
              <w:rPr>
                <w:rFonts w:eastAsia="Times New Roman" w:cs="Times New Roman" w:ascii="Times New Roman" w:hAnsi="Times New Roman"/>
                <w:b/>
                <w:kern w:val="0"/>
                <w:sz w:val="24"/>
                <w:szCs w:val="24"/>
                <w:lang w:val="sk-SK" w:eastAsia="cs-CZ" w:bidi="ar-SA"/>
              </w:rPr>
              <w:t>1 004 680,- €</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2017</w:t>
            </w:r>
          </w:p>
        </w:tc>
        <w:tc>
          <w:tcPr>
            <w:tcW w:w="3402"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1 123 056,- €</w:t>
            </w:r>
          </w:p>
        </w:tc>
        <w:tc>
          <w:tcPr>
            <w:tcW w:w="4110" w:type="dxa"/>
            <w:tcBorders/>
          </w:tcPr>
          <w:p>
            <w:pPr>
              <w:pStyle w:val="Normal"/>
              <w:widowControl/>
              <w:spacing w:lineRule="auto" w:line="240" w:before="0" w:after="0"/>
              <w:jc w:val="center"/>
              <w:rPr>
                <w:b/>
                <w:b/>
                <w:color w:val="C00000"/>
                <w:sz w:val="24"/>
                <w:szCs w:val="24"/>
                <w:lang w:eastAsia="cs-CZ"/>
              </w:rPr>
            </w:pPr>
            <w:r>
              <w:rPr>
                <w:rFonts w:eastAsia="Times New Roman" w:cs="Times New Roman" w:ascii="Times New Roman" w:hAnsi="Times New Roman"/>
                <w:b/>
                <w:kern w:val="0"/>
                <w:sz w:val="24"/>
                <w:szCs w:val="24"/>
                <w:lang w:val="sk-SK" w:eastAsia="cs-CZ" w:bidi="ar-SA"/>
              </w:rPr>
              <w:t>1 096 656,- € - 97,64%</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2018</w:t>
            </w:r>
          </w:p>
        </w:tc>
        <w:tc>
          <w:tcPr>
            <w:tcW w:w="3402"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1 156 301,- €</w:t>
            </w:r>
          </w:p>
        </w:tc>
        <w:tc>
          <w:tcPr>
            <w:tcW w:w="4110" w:type="dxa"/>
            <w:tcBorders/>
          </w:tcPr>
          <w:p>
            <w:pPr>
              <w:pStyle w:val="Normal"/>
              <w:widowControl/>
              <w:spacing w:lineRule="auto" w:line="240" w:before="0" w:after="0"/>
              <w:jc w:val="center"/>
              <w:rPr>
                <w:b/>
                <w:b/>
                <w:color w:val="C00000"/>
                <w:sz w:val="24"/>
                <w:szCs w:val="24"/>
                <w:lang w:eastAsia="cs-CZ"/>
              </w:rPr>
            </w:pPr>
            <w:r>
              <w:rPr>
                <w:rFonts w:eastAsia="Times New Roman" w:cs="Times New Roman" w:ascii="Times New Roman" w:hAnsi="Times New Roman"/>
                <w:b/>
                <w:kern w:val="0"/>
                <w:sz w:val="24"/>
                <w:szCs w:val="24"/>
                <w:lang w:val="sk-SK" w:eastAsia="cs-CZ" w:bidi="ar-SA"/>
              </w:rPr>
              <w:t>1 132 342,- 97,93%</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2019</w:t>
            </w:r>
          </w:p>
        </w:tc>
        <w:tc>
          <w:tcPr>
            <w:tcW w:w="3402"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1 315 561,- €</w:t>
            </w:r>
          </w:p>
        </w:tc>
        <w:tc>
          <w:tcPr>
            <w:tcW w:w="4110"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306686,- € - 99,33%</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2020</w:t>
            </w:r>
          </w:p>
        </w:tc>
        <w:tc>
          <w:tcPr>
            <w:tcW w:w="3402"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1 466 126,- €</w:t>
            </w:r>
          </w:p>
        </w:tc>
        <w:tc>
          <w:tcPr>
            <w:tcW w:w="4110"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1 440 133 – 98,23%</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2021</w:t>
            </w:r>
          </w:p>
        </w:tc>
        <w:tc>
          <w:tcPr>
            <w:tcW w:w="3402"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bCs/>
                <w:color w:val="222222"/>
                <w:kern w:val="0"/>
                <w:sz w:val="24"/>
                <w:szCs w:val="24"/>
                <w:shd w:fill="FFFFFF" w:val="clear"/>
                <w:lang w:val="sk-SK" w:eastAsia="sk-SK" w:bidi="ar-SA"/>
              </w:rPr>
              <w:t>1 502 571</w:t>
            </w:r>
            <w:r>
              <w:rPr>
                <w:rFonts w:eastAsia="Times New Roman" w:cs="Times New Roman" w:ascii="Times New Roman" w:hAnsi="Times New Roman"/>
                <w:color w:val="222222"/>
                <w:kern w:val="0"/>
                <w:sz w:val="24"/>
                <w:szCs w:val="24"/>
                <w:shd w:fill="FFFFFF" w:val="clear"/>
                <w:lang w:val="sk-SK" w:eastAsia="sk-SK" w:bidi="ar-SA"/>
              </w:rPr>
              <w:t>,-</w:t>
            </w:r>
            <w:r>
              <w:rPr>
                <w:rFonts w:eastAsia="Times New Roman" w:cs="Times New Roman" w:ascii="Times New Roman" w:hAnsi="Times New Roman"/>
                <w:b/>
                <w:color w:val="222222"/>
                <w:kern w:val="0"/>
                <w:sz w:val="24"/>
                <w:szCs w:val="24"/>
                <w:shd w:fill="FFFFFF" w:val="clear"/>
                <w:lang w:val="sk-SK" w:eastAsia="sk-SK" w:bidi="ar-SA"/>
              </w:rPr>
              <w:t xml:space="preserve"> €</w:t>
            </w:r>
          </w:p>
        </w:tc>
        <w:tc>
          <w:tcPr>
            <w:tcW w:w="4110"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color w:val="222222"/>
                <w:kern w:val="0"/>
                <w:sz w:val="24"/>
                <w:szCs w:val="24"/>
                <w:shd w:fill="FFFFFF" w:val="clear"/>
                <w:lang w:val="sk-SK" w:eastAsia="sk-SK" w:bidi="ar-SA"/>
              </w:rPr>
              <w:t xml:space="preserve">1 466 436,- € - </w:t>
            </w:r>
            <w:r>
              <w:rPr>
                <w:rFonts w:eastAsia="Times New Roman" w:cs="Times New Roman" w:ascii="Times New Roman" w:hAnsi="Times New Roman"/>
                <w:b/>
                <w:kern w:val="0"/>
                <w:sz w:val="24"/>
                <w:szCs w:val="24"/>
                <w:shd w:fill="FFFFFF" w:val="clear"/>
                <w:lang w:val="sk-SK" w:eastAsia="sk-SK" w:bidi="ar-SA"/>
              </w:rPr>
              <w:t>98,01</w:t>
            </w:r>
            <w:r>
              <w:rPr>
                <w:rFonts w:eastAsia="Times New Roman" w:cs="Times New Roman" w:ascii="Times New Roman" w:hAnsi="Times New Roman"/>
                <w:b/>
                <w:color w:val="222222"/>
                <w:kern w:val="0"/>
                <w:sz w:val="24"/>
                <w:szCs w:val="24"/>
                <w:shd w:fill="FFFFFF" w:val="clear"/>
                <w:lang w:val="sk-SK" w:eastAsia="sk-SK" w:bidi="ar-SA"/>
              </w:rPr>
              <w:t>%!</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2022</w:t>
            </w:r>
          </w:p>
        </w:tc>
        <w:tc>
          <w:tcPr>
            <w:tcW w:w="3402" w:type="dxa"/>
            <w:tcBorders/>
          </w:tcPr>
          <w:p>
            <w:pPr>
              <w:pStyle w:val="Normal"/>
              <w:widowControl/>
              <w:spacing w:lineRule="auto" w:line="240" w:before="0" w:after="0"/>
              <w:jc w:val="center"/>
              <w:rPr>
                <w:b/>
                <w:b/>
                <w:bCs/>
                <w:color w:val="222222"/>
                <w:sz w:val="24"/>
                <w:szCs w:val="24"/>
                <w:shd w:fill="FFFFFF" w:val="clear"/>
              </w:rPr>
            </w:pPr>
            <w:r>
              <w:rPr>
                <w:rFonts w:eastAsia="Times New Roman" w:cs="Times New Roman" w:ascii="Times New Roman" w:hAnsi="Times New Roman"/>
                <w:b/>
                <w:bCs/>
                <w:color w:val="222222"/>
                <w:kern w:val="0"/>
                <w:sz w:val="24"/>
                <w:szCs w:val="24"/>
                <w:shd w:fill="FFFFFF" w:val="clear"/>
                <w:lang w:val="sk-SK" w:eastAsia="sk-SK" w:bidi="ar-SA"/>
              </w:rPr>
              <w:t>1 487 873,- €</w:t>
            </w:r>
          </w:p>
        </w:tc>
        <w:tc>
          <w:tcPr>
            <w:tcW w:w="4110" w:type="dxa"/>
            <w:tcBorders/>
          </w:tcPr>
          <w:p>
            <w:pPr>
              <w:pStyle w:val="Normal"/>
              <w:widowControl/>
              <w:spacing w:lineRule="auto" w:line="240" w:before="0" w:after="0"/>
              <w:jc w:val="center"/>
              <w:rPr>
                <w:rFonts w:ascii="Times New Roman" w:hAnsi="Times New Roman" w:eastAsia="Times New Roman" w:cs="Times New Roman"/>
                <w:b/>
                <w:b/>
                <w:color w:val="222222"/>
                <w:kern w:val="0"/>
                <w:sz w:val="24"/>
                <w:szCs w:val="24"/>
                <w:shd w:fill="FFFFFF" w:val="clear"/>
                <w:lang w:val="sk-SK" w:eastAsia="sk-SK" w:bidi="ar-SA"/>
              </w:rPr>
            </w:pPr>
            <w:r>
              <w:rPr>
                <w:rFonts w:eastAsia="Times New Roman" w:cs="Times New Roman" w:ascii="Times New Roman" w:hAnsi="Times New Roman"/>
                <w:b/>
                <w:color w:val="222222"/>
                <w:kern w:val="0"/>
                <w:sz w:val="24"/>
                <w:szCs w:val="24"/>
                <w:shd w:fill="FFFFFF" w:val="clear"/>
                <w:lang w:val="sk-SK" w:eastAsia="sk-SK" w:bidi="ar-SA"/>
              </w:rPr>
              <w:t>1 482 269,-  99,62 %</w:t>
            </w:r>
          </w:p>
        </w:tc>
      </w:tr>
      <w:tr>
        <w:trPr/>
        <w:tc>
          <w:tcPr>
            <w:tcW w:w="1668" w:type="dxa"/>
            <w:tcBorders/>
          </w:tcPr>
          <w:p>
            <w:pPr>
              <w:pStyle w:val="Normal"/>
              <w:widowControl/>
              <w:spacing w:lineRule="auto" w:line="240" w:before="0" w:after="0"/>
              <w:jc w:val="center"/>
              <w:rPr>
                <w:b/>
                <w:b/>
                <w:sz w:val="24"/>
                <w:szCs w:val="24"/>
                <w:lang w:eastAsia="cs-CZ"/>
              </w:rPr>
            </w:pPr>
            <w:r>
              <w:rPr>
                <w:rFonts w:eastAsia="Times New Roman" w:cs="Times New Roman" w:ascii="Times New Roman" w:hAnsi="Times New Roman"/>
                <w:b/>
                <w:kern w:val="0"/>
                <w:sz w:val="24"/>
                <w:szCs w:val="24"/>
                <w:lang w:val="sk-SK" w:eastAsia="cs-CZ" w:bidi="ar-SA"/>
              </w:rPr>
              <w:t>2023</w:t>
            </w:r>
          </w:p>
        </w:tc>
        <w:tc>
          <w:tcPr>
            <w:tcW w:w="3402" w:type="dxa"/>
            <w:tcBorders/>
          </w:tcPr>
          <w:p>
            <w:pPr>
              <w:pStyle w:val="Normal"/>
              <w:widowControl/>
              <w:spacing w:lineRule="auto" w:line="240" w:before="0" w:after="0"/>
              <w:jc w:val="center"/>
              <w:rPr>
                <w:b/>
                <w:b/>
                <w:bCs/>
                <w:color w:val="222222"/>
                <w:sz w:val="24"/>
                <w:szCs w:val="24"/>
                <w:shd w:fill="FFFFFF" w:val="clear"/>
              </w:rPr>
            </w:pPr>
            <w:r>
              <w:rPr>
                <w:rFonts w:eastAsia="Times New Roman" w:cs="Times New Roman" w:ascii="Times New Roman" w:hAnsi="Times New Roman"/>
                <w:b/>
                <w:bCs/>
                <w:color w:val="222222"/>
                <w:kern w:val="0"/>
                <w:sz w:val="24"/>
                <w:szCs w:val="24"/>
                <w:shd w:fill="FFFFFF" w:val="clear"/>
                <w:lang w:val="sk-SK" w:eastAsia="sk-SK" w:bidi="ar-SA"/>
              </w:rPr>
              <w:t>1 734 356,- €</w:t>
            </w:r>
          </w:p>
        </w:tc>
        <w:tc>
          <w:tcPr>
            <w:tcW w:w="4110" w:type="dxa"/>
            <w:tcBorders/>
          </w:tcPr>
          <w:p>
            <w:pPr>
              <w:pStyle w:val="Normal"/>
              <w:widowControl/>
              <w:spacing w:lineRule="auto" w:line="240" w:before="0" w:after="0"/>
              <w:jc w:val="center"/>
              <w:rPr>
                <w:rFonts w:ascii="Times New Roman" w:hAnsi="Times New Roman" w:eastAsia="Times New Roman" w:cs="Times New Roman"/>
                <w:b/>
                <w:b/>
                <w:color w:val="222222"/>
                <w:kern w:val="0"/>
                <w:sz w:val="24"/>
                <w:szCs w:val="24"/>
                <w:shd w:fill="FFFFFF" w:val="clear"/>
                <w:lang w:val="sk-SK" w:eastAsia="sk-SK" w:bidi="ar-SA"/>
              </w:rPr>
            </w:pPr>
            <w:r>
              <w:rPr>
                <w:rFonts w:eastAsia="Times New Roman" w:cs="Times New Roman" w:ascii="Times New Roman" w:hAnsi="Times New Roman"/>
                <w:b/>
                <w:color w:val="222222"/>
                <w:kern w:val="0"/>
                <w:sz w:val="24"/>
                <w:szCs w:val="24"/>
                <w:shd w:fill="FFFFFF" w:val="clear"/>
                <w:lang w:val="sk-SK" w:eastAsia="sk-SK" w:bidi="ar-SA"/>
              </w:rPr>
              <w:t>1 734 356,-€ -100%</w:t>
            </w:r>
          </w:p>
        </w:tc>
      </w:tr>
    </w:tbl>
    <w:p>
      <w:pPr>
        <w:pStyle w:val="Normal"/>
        <w:spacing w:lineRule="auto" w:line="240" w:before="0" w:after="0"/>
        <w:rPr>
          <w:rFonts w:ascii="Times New Roman" w:hAnsi="Times New Roman" w:eastAsia="Times New Roman" w:cs="Times New Roman"/>
          <w:b/>
          <w:b/>
          <w:color w:val="C00000"/>
          <w:sz w:val="24"/>
          <w:szCs w:val="24"/>
          <w:lang w:eastAsia="cs-CZ"/>
        </w:rPr>
      </w:pPr>
      <w:r>
        <w:rPr>
          <w:rFonts w:eastAsia="Times New Roman" w:cs="Times New Roman" w:ascii="Times New Roman" w:hAnsi="Times New Roman"/>
          <w:b/>
          <w:color w:val="C00000"/>
          <w:sz w:val="24"/>
          <w:szCs w:val="24"/>
          <w:lang w:eastAsia="cs-CZ"/>
        </w:rPr>
      </w:r>
    </w:p>
    <w:p>
      <w:pPr>
        <w:pStyle w:val="Normal"/>
        <w:spacing w:lineRule="auto" w:line="240" w:before="0" w:after="0"/>
        <w:rPr>
          <w:rFonts w:ascii="Times New Roman" w:hAnsi="Times New Roman" w:eastAsia="Times New Roman" w:cs="Times New Roman"/>
          <w:b/>
          <w:b/>
          <w:color w:val="C00000"/>
          <w:sz w:val="24"/>
          <w:szCs w:val="24"/>
          <w:lang w:eastAsia="cs-CZ"/>
        </w:rPr>
      </w:pPr>
      <w:r>
        <w:rPr>
          <w:rFonts w:eastAsia="Times New Roman" w:cs="Times New Roman" w:ascii="Times New Roman" w:hAnsi="Times New Roman"/>
          <w:b/>
          <w:color w:val="C00000"/>
          <w:sz w:val="24"/>
          <w:szCs w:val="24"/>
          <w:lang w:eastAsia="cs-CZ"/>
        </w:rPr>
      </w:r>
    </w:p>
    <w:p>
      <w:pPr>
        <w:pStyle w:val="Normal"/>
        <w:spacing w:lineRule="auto" w:line="240" w:before="0" w:after="0"/>
        <w:rPr>
          <w:rFonts w:ascii="Times New Roman" w:hAnsi="Times New Roman" w:eastAsia="Times New Roman" w:cs="Times New Roman"/>
          <w:b/>
          <w:b/>
          <w:color w:val="C00000"/>
          <w:sz w:val="24"/>
          <w:szCs w:val="24"/>
          <w:lang w:eastAsia="cs-CZ"/>
        </w:rPr>
      </w:pPr>
      <w:r>
        <w:rPr>
          <w:rFonts w:eastAsia="Times New Roman" w:cs="Times New Roman" w:ascii="Times New Roman" w:hAnsi="Times New Roman"/>
          <w:b/>
          <w:color w:val="C00000"/>
          <w:sz w:val="24"/>
          <w:szCs w:val="24"/>
          <w:lang w:eastAsia="cs-CZ"/>
        </w:rPr>
      </w:r>
    </w:p>
    <w:p>
      <w:pPr>
        <w:pStyle w:val="Normal"/>
        <w:spacing w:lineRule="auto" w:line="240" w:before="0" w:after="0"/>
        <w:rPr>
          <w:rFonts w:ascii="Times New Roman" w:hAnsi="Times New Roman" w:eastAsia="Times New Roman" w:cs="Times New Roman"/>
          <w:b/>
          <w:b/>
          <w:color w:val="C00000"/>
          <w:sz w:val="24"/>
          <w:szCs w:val="24"/>
          <w:lang w:eastAsia="cs-CZ"/>
        </w:rPr>
      </w:pPr>
      <w:r>
        <w:rPr>
          <w:rFonts w:eastAsia="Times New Roman" w:cs="Times New Roman" w:ascii="Times New Roman" w:hAnsi="Times New Roman"/>
          <w:b/>
          <w:color w:val="C00000"/>
          <w:sz w:val="24"/>
          <w:szCs w:val="24"/>
          <w:lang w:eastAsia="cs-CZ"/>
        </w:rPr>
      </w:r>
    </w:p>
    <w:tbl>
      <w:tblPr>
        <w:tblW w:w="9214" w:type="dxa"/>
        <w:jc w:val="left"/>
        <w:tblInd w:w="-72" w:type="dxa"/>
        <w:tblLayout w:type="fixed"/>
        <w:tblCellMar>
          <w:top w:w="0" w:type="dxa"/>
          <w:left w:w="70" w:type="dxa"/>
          <w:bottom w:w="0" w:type="dxa"/>
          <w:right w:w="70" w:type="dxa"/>
        </w:tblCellMar>
        <w:tblLook w:firstRow="1" w:noVBand="1" w:lastRow="0" w:firstColumn="1" w:lastColumn="0" w:noHBand="0" w:val="04a0"/>
      </w:tblPr>
      <w:tblGrid>
        <w:gridCol w:w="3260"/>
        <w:gridCol w:w="1559"/>
        <w:gridCol w:w="1418"/>
        <w:gridCol w:w="993"/>
        <w:gridCol w:w="1984"/>
      </w:tblGrid>
      <w:tr>
        <w:trPr>
          <w:trHeight w:val="300" w:hRule="atLeast"/>
        </w:trPr>
        <w:tc>
          <w:tcPr>
            <w:tcW w:w="3260" w:type="dxa"/>
            <w:tcBorders>
              <w:top w:val="single" w:sz="4" w:space="0" w:color="000000"/>
              <w:left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Bežné výdavky rok 2022</w:t>
            </w:r>
          </w:p>
        </w:tc>
        <w:tc>
          <w:tcPr>
            <w:tcW w:w="1559" w:type="dxa"/>
            <w:tcBorders>
              <w:top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610+620</w:t>
            </w:r>
          </w:p>
        </w:tc>
        <w:tc>
          <w:tcPr>
            <w:tcW w:w="1418" w:type="dxa"/>
            <w:tcBorders>
              <w:top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630</w:t>
            </w:r>
          </w:p>
        </w:tc>
        <w:tc>
          <w:tcPr>
            <w:tcW w:w="993" w:type="dxa"/>
            <w:tcBorders>
              <w:top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640</w:t>
            </w:r>
          </w:p>
        </w:tc>
        <w:tc>
          <w:tcPr>
            <w:tcW w:w="1984" w:type="dxa"/>
            <w:tcBorders>
              <w:top w:val="single" w:sz="4" w:space="0" w:color="000000"/>
              <w:bottom w:val="single" w:sz="4" w:space="0" w:color="000000"/>
              <w:right w:val="single" w:sz="4" w:space="0" w:color="000000"/>
            </w:tcBorders>
            <w:shd w:color="auto" w:fill="8DB3E2" w:themeFill="text2" w:themeFillTint="66" w:val="clear"/>
            <w:vAlign w:val="bottom"/>
          </w:tcPr>
          <w:p>
            <w:pPr>
              <w:pStyle w:val="Normal"/>
              <w:widowControl w:val="false"/>
              <w:spacing w:lineRule="auto" w:line="240" w:before="0" w:after="0"/>
              <w:jc w:val="center"/>
              <w:rPr>
                <w:rFonts w:ascii="Times New Roman" w:hAnsi="Times New Roman" w:eastAsia="Times New Roman" w:cs="Times New Roman"/>
                <w:b/>
                <w:b/>
                <w:bCs/>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Spolu (€)</w:t>
            </w:r>
          </w:p>
        </w:tc>
      </w:tr>
      <w:tr>
        <w:trPr>
          <w:trHeight w:val="300" w:hRule="atLeast"/>
        </w:trPr>
        <w:tc>
          <w:tcPr>
            <w:tcW w:w="32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sz w:val="24"/>
                <w:szCs w:val="24"/>
                <w:lang w:eastAsia="sk-SK"/>
              </w:rPr>
              <w:t>Školská jedáleň ZŠ</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93 790,-</w:t>
            </w:r>
          </w:p>
        </w:tc>
        <w:tc>
          <w:tcPr>
            <w:tcW w:w="14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cs-CZ"/>
              </w:rPr>
              <w:t>28 885,-</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98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t>122 675,-</w:t>
            </w:r>
          </w:p>
        </w:tc>
      </w:tr>
      <w:tr>
        <w:trPr>
          <w:trHeight w:val="300" w:hRule="atLeast"/>
        </w:trPr>
        <w:tc>
          <w:tcPr>
            <w:tcW w:w="32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klub detí</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114 720,-</w:t>
            </w:r>
          </w:p>
        </w:tc>
        <w:tc>
          <w:tcPr>
            <w:tcW w:w="14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xml:space="preserve">        </w:t>
            </w:r>
            <w:r>
              <w:rPr>
                <w:rFonts w:eastAsia="Times New Roman" w:cs="Times New Roman" w:ascii="Times New Roman" w:hAnsi="Times New Roman"/>
                <w:sz w:val="24"/>
                <w:szCs w:val="24"/>
                <w:lang w:eastAsia="sk-SK"/>
              </w:rPr>
              <w:t>0,-</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98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114 720,-</w:t>
            </w:r>
          </w:p>
        </w:tc>
      </w:tr>
      <w:tr>
        <w:trPr>
          <w:trHeight w:val="300" w:hRule="atLeast"/>
        </w:trPr>
        <w:tc>
          <w:tcPr>
            <w:tcW w:w="32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MŠ Pod Vinbargom</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cs-CZ"/>
              </w:rPr>
              <w:t>141 905,-</w:t>
            </w:r>
          </w:p>
        </w:tc>
        <w:tc>
          <w:tcPr>
            <w:tcW w:w="14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cs-CZ"/>
              </w:rPr>
              <w:t>23 463,-</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98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165 368,-</w:t>
            </w:r>
          </w:p>
        </w:tc>
      </w:tr>
      <w:tr>
        <w:trPr>
          <w:trHeight w:val="300" w:hRule="atLeast"/>
        </w:trPr>
        <w:tc>
          <w:tcPr>
            <w:tcW w:w="32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ŠJ MŠ Pod Vinbargom</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32 377,-</w:t>
            </w:r>
          </w:p>
        </w:tc>
        <w:tc>
          <w:tcPr>
            <w:tcW w:w="14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xml:space="preserve">     </w:t>
            </w:r>
            <w:r>
              <w:rPr>
                <w:rFonts w:eastAsia="Times New Roman" w:cs="Times New Roman" w:ascii="Times New Roman" w:hAnsi="Times New Roman"/>
                <w:sz w:val="24"/>
                <w:szCs w:val="24"/>
                <w:lang w:eastAsia="sk-SK"/>
              </w:rPr>
              <w:t>578,-</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98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xml:space="preserve">   </w:t>
            </w:r>
            <w:r>
              <w:rPr>
                <w:rFonts w:eastAsia="Times New Roman" w:cs="Times New Roman" w:ascii="Times New Roman" w:hAnsi="Times New Roman"/>
                <w:b/>
                <w:bCs/>
                <w:sz w:val="24"/>
                <w:szCs w:val="24"/>
                <w:lang w:eastAsia="sk-SK"/>
              </w:rPr>
              <w:t>32 975,-</w:t>
            </w:r>
          </w:p>
        </w:tc>
      </w:tr>
    </w:tbl>
    <w:p>
      <w:pPr>
        <w:pStyle w:val="Normal"/>
        <w:tabs>
          <w:tab w:val="clear" w:pos="708"/>
          <w:tab w:val="left" w:pos="1005" w:leader="none"/>
          <w:tab w:val="left" w:pos="7728"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p>
    <w:p>
      <w:pPr>
        <w:pStyle w:val="Normal"/>
        <w:tabs>
          <w:tab w:val="clear" w:pos="708"/>
          <w:tab w:val="left" w:pos="1005" w:leader="none"/>
          <w:tab w:val="left" w:pos="7728" w:leader="none"/>
        </w:tabs>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t>Iné finančné prostriedky za rok 2022</w:t>
      </w:r>
    </w:p>
    <w:p>
      <w:pPr>
        <w:pStyle w:val="Normal"/>
        <w:tabs>
          <w:tab w:val="clear" w:pos="708"/>
          <w:tab w:val="left" w:pos="1005" w:leader="none"/>
          <w:tab w:val="left" w:pos="7728" w:leader="none"/>
        </w:tabs>
        <w:spacing w:lineRule="auto" w:line="240" w:before="0" w:after="0"/>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Dopravné</w:t>
            </w:r>
          </w:p>
        </w:tc>
        <w:tc>
          <w:tcPr>
            <w:tcW w:w="4605"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  </w:t>
            </w:r>
            <w:r>
              <w:rPr>
                <w:rFonts w:eastAsia="Times New Roman" w:cs="Times New Roman" w:ascii="Times New Roman" w:hAnsi="Times New Roman"/>
                <w:kern w:val="0"/>
                <w:sz w:val="24"/>
                <w:szCs w:val="24"/>
                <w:lang w:val="sk-SK" w:eastAsia="cs-CZ" w:bidi="ar-SA"/>
              </w:rPr>
              <w:t>13 280,- €</w:t>
            </w:r>
          </w:p>
        </w:tc>
      </w:tr>
      <w:tr>
        <w:trPr/>
        <w:tc>
          <w:tcPr>
            <w:tcW w:w="4606"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Asistenti učiteľa</w:t>
            </w:r>
          </w:p>
        </w:tc>
        <w:tc>
          <w:tcPr>
            <w:tcW w:w="4605"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  </w:t>
            </w:r>
            <w:r>
              <w:rPr>
                <w:rFonts w:eastAsia="Times New Roman" w:cs="Times New Roman" w:ascii="Times New Roman" w:hAnsi="Times New Roman"/>
                <w:kern w:val="0"/>
                <w:sz w:val="24"/>
                <w:szCs w:val="24"/>
                <w:lang w:val="sk-SK" w:eastAsia="cs-CZ" w:bidi="ar-SA"/>
              </w:rPr>
              <w:t>45 675,98 €</w:t>
            </w:r>
          </w:p>
        </w:tc>
      </w:tr>
      <w:tr>
        <w:trPr/>
        <w:tc>
          <w:tcPr>
            <w:tcW w:w="4606"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Žiaci zo SZP</w:t>
            </w:r>
          </w:p>
        </w:tc>
        <w:tc>
          <w:tcPr>
            <w:tcW w:w="4605"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    </w:t>
            </w:r>
            <w:r>
              <w:rPr>
                <w:rFonts w:eastAsia="Times New Roman" w:cs="Times New Roman" w:ascii="Times New Roman" w:hAnsi="Times New Roman"/>
                <w:kern w:val="0"/>
                <w:sz w:val="24"/>
                <w:szCs w:val="24"/>
                <w:lang w:val="sk-SK" w:eastAsia="cs-CZ" w:bidi="ar-SA"/>
              </w:rPr>
              <w:t>1 050,- €</w:t>
            </w:r>
          </w:p>
        </w:tc>
      </w:tr>
      <w:tr>
        <w:trPr/>
        <w:tc>
          <w:tcPr>
            <w:tcW w:w="4606"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Vzdelávacie poukazy</w:t>
            </w:r>
          </w:p>
        </w:tc>
        <w:tc>
          <w:tcPr>
            <w:tcW w:w="4605"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   </w:t>
            </w:r>
            <w:r>
              <w:rPr>
                <w:rFonts w:eastAsia="Times New Roman" w:cs="Times New Roman" w:ascii="Times New Roman" w:hAnsi="Times New Roman"/>
                <w:kern w:val="0"/>
                <w:sz w:val="24"/>
                <w:szCs w:val="24"/>
                <w:lang w:val="sk-SK" w:eastAsia="cs-CZ" w:bidi="ar-SA"/>
              </w:rPr>
              <w:t>13 926,- €</w:t>
            </w:r>
          </w:p>
        </w:tc>
      </w:tr>
      <w:tr>
        <w:trPr/>
        <w:tc>
          <w:tcPr>
            <w:tcW w:w="4606"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Nevyčerpané vrátené prostriedky</w:t>
            </w:r>
          </w:p>
        </w:tc>
        <w:tc>
          <w:tcPr>
            <w:tcW w:w="4605" w:type="dxa"/>
            <w:tcBorders/>
          </w:tcPr>
          <w:p>
            <w:pPr>
              <w:pStyle w:val="Normal"/>
              <w:widowControl/>
              <w:tabs>
                <w:tab w:val="clear" w:pos="708"/>
                <w:tab w:val="left" w:pos="1005" w:leader="none"/>
                <w:tab w:val="left" w:pos="7728" w:leader="none"/>
              </w:tabs>
              <w:spacing w:lineRule="auto" w:line="240" w:before="0" w:after="0"/>
              <w:jc w:val="left"/>
              <w:rPr>
                <w:sz w:val="24"/>
                <w:szCs w:val="24"/>
                <w:lang w:eastAsia="cs-CZ"/>
              </w:rPr>
            </w:pPr>
            <w:r>
              <w:rPr>
                <w:rFonts w:eastAsia="Times New Roman" w:cs="Times New Roman" w:ascii="Times New Roman" w:hAnsi="Times New Roman"/>
                <w:kern w:val="0"/>
                <w:sz w:val="24"/>
                <w:szCs w:val="24"/>
                <w:lang w:val="sk-SK" w:eastAsia="cs-CZ" w:bidi="ar-SA"/>
              </w:rPr>
              <w:t xml:space="preserve">     </w:t>
            </w:r>
            <w:r>
              <w:rPr>
                <w:rFonts w:eastAsia="Times New Roman" w:cs="Times New Roman" w:ascii="Times New Roman" w:hAnsi="Times New Roman"/>
                <w:kern w:val="0"/>
                <w:sz w:val="24"/>
                <w:szCs w:val="24"/>
                <w:lang w:val="sk-SK" w:eastAsia="cs-CZ" w:bidi="ar-SA"/>
              </w:rPr>
              <w:t>5 610,- €</w:t>
            </w:r>
          </w:p>
        </w:tc>
      </w:tr>
    </w:tbl>
    <w:p>
      <w:pPr>
        <w:pStyle w:val="Normal"/>
        <w:tabs>
          <w:tab w:val="clear" w:pos="708"/>
          <w:tab w:val="left" w:pos="1005" w:leader="none"/>
          <w:tab w:val="left" w:pos="7728" w:leader="none"/>
        </w:tabs>
        <w:spacing w:lineRule="auto" w:line="240" w:before="0" w:after="0"/>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tabs>
          <w:tab w:val="clear" w:pos="708"/>
          <w:tab w:val="left" w:pos="1005" w:leader="none"/>
          <w:tab w:val="left" w:pos="7728" w:leader="none"/>
        </w:tabs>
        <w:spacing w:lineRule="auto" w:line="240" w:before="0" w:after="0"/>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color w:val="548DD4" w:themeColor="text2" w:themeTint="99"/>
          <w:sz w:val="24"/>
          <w:szCs w:val="24"/>
          <w:lang w:eastAsia="cs-CZ"/>
        </w:rPr>
      </w:pPr>
      <w:r>
        <w:rPr>
          <w:rFonts w:cs="Times New Roman" w:ascii="Times New Roman" w:hAnsi="Times New Roman"/>
          <w:b/>
          <w:color w:val="548DD4" w:themeColor="text2" w:themeTint="99"/>
          <w:sz w:val="24"/>
          <w:szCs w:val="24"/>
        </w:rPr>
        <w:t>Spolupráca s rodičmi a organizáciami, poskytovanie služieb žiakom a rodičom</w:t>
      </w:r>
    </w:p>
    <w:p>
      <w:pPr>
        <w:pStyle w:val="Normal"/>
        <w:spacing w:lineRule="auto" w:line="240" w:before="0" w:after="0"/>
        <w:ind w:left="360" w:hanging="0"/>
        <w:jc w:val="both"/>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ind w:firstLine="708"/>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 xml:space="preserve">Spolupráca medzi školou a rodičmi prebieha v rovine pravidelných triednych aktívov, rodičovských združení, kde sú informovaní o prospechu, dochádzke a správaní žiakov, stretnutia vedenia školy s rodičovskou radou. Veľkým pozitívom na našej škole je zavedenie elektronickej žiackej knižky a aplikácie Edupage, kde rodičia pravidelne už niekoľko rokov môžu prostredníctvom internetu získať prehľad o prospechu svojho dieťaťa, môžu komunikovať s vyučujúcimi a majú prehľad o zadaných domácich úlohách.. Zároveň aj  zavedenie elektronickej triednej knihy či elektronické katalógové listy, čím sa zjednodušuje a debyrokratizuje  práca pedagógov.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Združenie rodičov a priateľov školy – spoluúčasťou na výchove a vzdelávaní detí. Finančná, morálna a materiálna pomoc nám dáva dôvod domnievať sa, že rodičovská verejnosť je s výsledkami našej práce a s podmienkami, za ktorých sa výchovno-vzdelávací proces na našej škole uskutočňuje, spokojná. Rodičovská verejnosť má možnosť výrazne ovplyvňovať dianie na škole prostredníctvom svojich zástupcov v rade školy, kde sú v 11 člennom orgáne zvolení jej 4 predstavitelia. Rodičia sa pravidelne stretávajú aj na triednych aktívoch RZ, ktoré sa konajú 3</w:t>
      </w:r>
      <w:r>
        <w:rPr>
          <w:rFonts w:cs="Times New Roman" w:ascii="Times New Roman" w:hAnsi="Times New Roman"/>
          <w:b/>
          <w:sz w:val="24"/>
          <w:szCs w:val="24"/>
        </w:rPr>
        <w:t>×</w:t>
      </w:r>
      <w:r>
        <w:rPr>
          <w:rFonts w:cs="Times New Roman" w:ascii="Times New Roman" w:hAnsi="Times New Roman"/>
          <w:sz w:val="24"/>
          <w:szCs w:val="24"/>
        </w:rPr>
        <w:t xml:space="preserve"> ročne, tento rok online, čo sa pre rodičov javí ako najlepší spôsob komunikácie, keďže mnohí majú viacero detí na škola. </w:t>
      </w:r>
    </w:p>
    <w:p>
      <w:pPr>
        <w:pStyle w:val="Normal"/>
        <w:spacing w:lineRule="auto" w:line="240" w:before="0" w:after="0"/>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V rámci spolupráce školy s rodičmi školy ponúkla zákonným zástupcom svojich žiakov :</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zriadenie konzultačných hodín pre rodičov v mimopracovnom čase,</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dobre fungujúca internetová žiacka knižka,</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používanie elektronických adries na komunikáciu s rodičmi žiakov prostredníctvom rodičovského konta EDU-page,</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skvalitnenie webovej stránky školy –častejšie inovácie podujatí školy v rámci informovanosti verejnosti,</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dlhodobé spravovanie facebookovej stránky školy,</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organizácia vystúpenia detí MŠ, 1. ročníka a ŠKD Dňa matiek, vianočných besiedok,</w:t>
      </w:r>
    </w:p>
    <w:p>
      <w:pPr>
        <w:pStyle w:val="Normal"/>
        <w:numPr>
          <w:ilvl w:val="0"/>
          <w:numId w:val="4"/>
        </w:numPr>
        <w:spacing w:lineRule="auto" w:line="240" w:before="0" w:after="0"/>
        <w:contextualSpacing/>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prizývanie rodičov na celoškolské tvorivé dielne (jesenné, vianočné, veľkonočné...),</w:t>
      </w:r>
    </w:p>
    <w:p>
      <w:pPr>
        <w:pStyle w:val="Normal"/>
        <w:spacing w:lineRule="auto" w:line="240" w:before="0" w:after="0"/>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Rada školy – zasadnutia rady školy sa konajú pravidelne podľa plánu práce RŠ. </w:t>
      </w:r>
    </w:p>
    <w:p>
      <w:pPr>
        <w:pStyle w:val="Normal"/>
        <w:spacing w:lineRule="auto" w:line="240" w:before="0" w:after="0"/>
        <w:ind w:firstLine="708"/>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PZ SR v Bardejove účinne spolupracuje pri zabezpečovaní dopravnej výchovy a výchovy žiakov v hroziacich a nebezpečných rizikových situáciách v živote žiaka. </w:t>
      </w:r>
    </w:p>
    <w:p>
      <w:pPr>
        <w:pStyle w:val="Normal"/>
        <w:spacing w:lineRule="auto" w:line="240" w:before="0" w:after="0"/>
        <w:ind w:firstLine="708"/>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RÚVZ – dlhodobá spolupráca na plnení úloh vytýčených MŠ SR v oblasti hygieny a zdravia. </w:t>
      </w:r>
    </w:p>
    <w:p>
      <w:pPr>
        <w:pStyle w:val="Normal"/>
        <w:spacing w:lineRule="auto" w:line="240" w:before="0" w:after="0"/>
        <w:ind w:firstLine="708"/>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Občianske združenie </w:t>
      </w:r>
      <w:r>
        <w:rPr>
          <w:rFonts w:cs="Times New Roman" w:ascii="Times New Roman" w:hAnsi="Times New Roman"/>
          <w:b/>
          <w:sz w:val="24"/>
          <w:szCs w:val="24"/>
        </w:rPr>
        <w:t>Lastovička</w:t>
      </w:r>
      <w:r>
        <w:rPr>
          <w:rFonts w:cs="Times New Roman" w:ascii="Times New Roman" w:hAnsi="Times New Roman"/>
          <w:sz w:val="24"/>
          <w:szCs w:val="24"/>
        </w:rPr>
        <w:t xml:space="preserve"> spolupracuje s  rodičmi žiakov našej školy, ktoré sa snaží v čo najväčšej miere pomáhať zlepšovať podmienky výchovno-vzdelávacieho procesu.</w:t>
      </w:r>
    </w:p>
    <w:p>
      <w:pPr>
        <w:pStyle w:val="Normal"/>
        <w:spacing w:lineRule="auto" w:line="240" w:before="0" w:after="0"/>
        <w:ind w:firstLine="705"/>
        <w:jc w:val="both"/>
        <w:rPr>
          <w:rFonts w:ascii="Times New Roman" w:hAnsi="Times New Roman" w:eastAsia="Times New Roman" w:cs="Times New Roman"/>
          <w:sz w:val="24"/>
          <w:szCs w:val="24"/>
          <w:lang w:eastAsia="cs-CZ"/>
        </w:rPr>
      </w:pPr>
      <w:r>
        <w:rPr>
          <w:rFonts w:eastAsia="Symbol" w:cs="Symbol" w:ascii="Symbol" w:hAnsi="Symbol"/>
          <w:sz w:val="24"/>
          <w:szCs w:val="24"/>
        </w:rPr>
        <w:t></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cs-CZ"/>
        </w:rPr>
        <w:t>Škola úzko spolupracuje so zriaďovateľom Mestom Bardejov, najmä s oddelením školstva a športu MsÚ Bardejov a mestskou knižnicou. Veľmi dobrá je spolupráca s hokejovým Klubom HC 46 Bardejov, ktorí sa podieľajú na príprave mladej talentovanej mládeže.</w:t>
      </w:r>
    </w:p>
    <w:p>
      <w:pPr>
        <w:pStyle w:val="Normal"/>
        <w:numPr>
          <w:ilvl w:val="0"/>
          <w:numId w:val="5"/>
        </w:numPr>
        <w:spacing w:before="0" w:after="0"/>
        <w:contextualSpacing/>
        <w:jc w:val="both"/>
        <w:rPr>
          <w:rFonts w:ascii="Times New Roman" w:hAnsi="Times New Roman" w:cs="Times New Roman"/>
          <w:sz w:val="24"/>
          <w:szCs w:val="24"/>
        </w:rPr>
      </w:pPr>
      <w:r>
        <w:rPr>
          <w:rFonts w:eastAsia="Times New Roman" w:cs="Times New Roman" w:ascii="Times New Roman" w:hAnsi="Times New Roman"/>
          <w:bCs/>
          <w:sz w:val="24"/>
          <w:szCs w:val="24"/>
          <w:lang w:eastAsia="cs-CZ"/>
        </w:rPr>
        <w:t>Počas mnohých rokov úzko spolupracuje s Úradom práce, sociálnych vecí a rodiny</w:t>
      </w:r>
    </w:p>
    <w:p>
      <w:pPr>
        <w:pStyle w:val="Normal"/>
        <w:spacing w:before="0" w:after="0"/>
        <w:contextualSpacing/>
        <w:jc w:val="both"/>
        <w:rPr>
          <w:rFonts w:ascii="Times New Roman" w:hAnsi="Times New Roman" w:cs="Times New Roman"/>
          <w:sz w:val="24"/>
          <w:szCs w:val="24"/>
        </w:rPr>
      </w:pPr>
      <w:r>
        <w:rPr>
          <w:rFonts w:eastAsia="Times New Roman" w:cs="Times New Roman" w:ascii="Times New Roman" w:hAnsi="Times New Roman"/>
          <w:bCs/>
          <w:sz w:val="24"/>
          <w:szCs w:val="24"/>
          <w:lang w:eastAsia="cs-CZ"/>
        </w:rPr>
        <w:t>v Bardejove pri zamestnávaní mladých, ale aj ľudí vo vyššom veku v rámci rôznych projektov ako „Rozvoj regionálneho zamestnania,“ „Absolventská prax a Dobrovoľnícka služba,“ „Šanca na zamestnanie,“ „Podpora zamestnávania,“ „Rozvoj regionálneho zamestnania,“ „Absolventská prax štartuje zamestnanie,“ „Praxou k zamestnaniu“ ako jediná základná škola  meste. Mladí ľudia tak majú možnosť získavať pracovné návyky a prax, čo im pomôže pri lepšom uplatnení sa na trhu práce.</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
        <w:t>ŠKD úzko spolupracuje s MŠ, ktoré sa nachádzajú v blízkom okolí školy a tvoria jej súčasť. Pani vychovávateľky pripravujú vianočný kultúrny program so sladkosťami pre deti MŠ.</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Deti sa majú možnosť realizovať v krúžkoch: práca s počítačom, výtvarný, počítačové hry, ANJ, RUJ, pohybové a športové hry, NEJ, divadelno-dramatický, zdravotnícky, tanečno-pohybový, športovo-pohybové hry, poznávací a iné.</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
        <w:t>V rámci spolupráce s mestskými organizáciami sme sa zúčastňovali akcií a súťaží, ktoré organizovali počas roka.</w:t>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Organizovanie školy v prírode, lyžiarsky kurz, školské výlety, exkurzie</w:t>
      </w:r>
    </w:p>
    <w:p>
      <w:pPr>
        <w:pStyle w:val="Normal"/>
        <w:spacing w:lineRule="auto" w:line="240" w:before="0" w:after="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Lyžiarsky kurz sa uskutočnil v stredisku Mraznica - Hnilčík od 23.1. – 27.1. 2023. 61 žiakov sa učilo základom lyžovania pod odborným vedením inštruktorov – PaedDr. Senaj, Mgr. Krochta, Mgr. Ivan a Mgr.Arendáčová.</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Cieľom kurzu bolo získať pre tento zimný šport čo najviac žiakov, vzbudiť záujem o lyžovanie, zalyžovať si, zabaviť sa, stráviť týždeň v horách, vštiepiť žiakom správne návyky a motorické zručnosti, na ktoré sa dá v ďalšom zdokonaľovaní nadviazať. Začiatočníci si osvojili základné lyžiarske zručnosti a vedomosti na úrovni bezpečného pohybu na lyžiach v nenáročnom teréne a pokročilí lyžiari sa zdokonaľovali v lyžiarskej technike so zvládaním základov carvingového lyžovania. Teoretické vedomosti boli zamerané na pravidlá správania sa na zjazdovkách, pravidlá jazdy na vleku, pravidlá správania sa pri stretnutí so snežným vozidlom a na označenie zjazdoviek a tratí.</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Škola v prírode sa v školskom roku 2022/2023 organizovala pre žiakov 3. a 4.ročníka. Škola v prírode sa konala v termíne od 8. mája do 12.mája 2023 v Liptovskom Jáne v penzióne Moravica. Počas pobytu žiaci navštívili Stanišovskú jaskyňu, mincovňu a absolvovali túry. Hlavným cieľom školy v prírode bolo rozvíjanie prosociálnych kompetencií, aplikácia enviromentálnej výchovy so zreteľom na životné prostredie a prepojenie teoretických vedomostí a praktických zručností získaných počas výchovno vzdelávacieho procesu. Počas pobytu v ŠvP sa žiaci v dopoludňajších hodinách venovali precvičovaniu a upevňovaniu učiva z matematiky a slovenského jazyka so zameraním hlavne na čítanie s porozumením. Dôraz sa kládol hlavne na netradičné zážitkové učenie, ktorým sa spoznávalo okolie.</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 xml:space="preserve">Klady a zápory riadiacej činnosti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lang w:eastAsia="cs-CZ"/>
        </w:rPr>
      </w:pPr>
      <w:r>
        <w:rPr>
          <w:rFonts w:cs="Times New Roman" w:ascii="Times New Roman" w:hAnsi="Times New Roman"/>
          <w:sz w:val="24"/>
          <w:szCs w:val="24"/>
        </w:rPr>
        <w:t>Právna subjektivita priniesla riaditeľstvám škôl práva, ale aj množstvo povinností. V súvislosti s legislatívnymi zmenami množstvo povinností narastá a s tým súvisí aj nárast administratívy, pričom nárast administratívnych zamestnancov s ohľadom na rozpočty škôl je vylúčený. Na školu ako príjemcu verejných zdrojov sa vzťahuje zákon o verejnom obstarávaní, ktorého časté novelizácie komplikujú snahy riaditeľstiev škôl robiť VO v súlade s legislatívou. Napriek novele školského zákona, zostala vedeniam škôl povinnosť každoročného hodnotenia pedagogických zamestnancov, čo je pri väčšom pedagogickom zbore úloha náročná nie len administratívne, ale aj organizačne. Mimoriadne náročná na spracovanie a hlavne na evidenciu je povinnosť mať prehľad o kontinuálnom vzdelávaní, získavaní kreditov a dobe ich platnosti. Vedenia škôl tak musia venovať podstatne viac času úlohám, ktoré s výchovno-vzdelávacím procesom bezprostredne nesúvisia, čo sa skôr alebo neskôr musí odraziť na kvalite tohto procesu. Medzi klady ZŠ patrí vysoká odbornosť pedagogického zboru a dobrá úspešnosť v rôznych medzinárodných projektoch ako jedna z mála škôl v meste.</w:t>
      </w:r>
    </w:p>
    <w:p>
      <w:pPr>
        <w:pStyle w:val="Normal"/>
        <w:spacing w:lineRule="auto" w:line="240" w:before="0" w:after="0"/>
        <w:jc w:val="both"/>
        <w:rPr>
          <w:rFonts w:ascii="Times New Roman" w:hAnsi="Times New Roman" w:eastAsia="Times New Roman" w:cs="Times New Roman"/>
          <w:color w:val="FF0000"/>
          <w:sz w:val="24"/>
          <w:szCs w:val="24"/>
          <w:lang w:eastAsia="cs-CZ"/>
        </w:rPr>
      </w:pPr>
      <w:r>
        <w:rPr>
          <w:rFonts w:eastAsia="Times New Roman" w:cs="Times New Roman" w:ascii="Times New Roman" w:hAnsi="Times New Roman"/>
          <w:color w:val="FF0000"/>
          <w:sz w:val="24"/>
          <w:szCs w:val="24"/>
          <w:lang w:eastAsia="cs-CZ"/>
        </w:rPr>
      </w:r>
    </w:p>
    <w:p>
      <w:pPr>
        <w:pStyle w:val="Normal"/>
        <w:spacing w:lineRule="auto" w:line="240" w:before="0" w:after="0"/>
        <w:jc w:val="both"/>
        <w:rPr>
          <w:rFonts w:ascii="Times New Roman" w:hAnsi="Times New Roman" w:eastAsia="Times New Roman" w:cs="Times New Roman"/>
          <w:b/>
          <w:b/>
          <w:bCs/>
          <w:color w:val="548DD4" w:themeColor="text2" w:themeTint="99"/>
          <w:sz w:val="24"/>
          <w:szCs w:val="24"/>
          <w:lang w:eastAsia="cs-CZ"/>
        </w:rPr>
      </w:pPr>
      <w:r>
        <w:rPr>
          <w:rFonts w:eastAsia="Times New Roman" w:cs="Times New Roman" w:ascii="Times New Roman" w:hAnsi="Times New Roman"/>
          <w:b/>
          <w:bCs/>
          <w:color w:val="548DD4" w:themeColor="text2" w:themeTint="99"/>
          <w:sz w:val="24"/>
          <w:szCs w:val="24"/>
          <w:lang w:eastAsia="cs-CZ"/>
        </w:rPr>
        <w:t>Údaje o počte, úspešnosti žiakov na testovaniach KOMPARO a v celoslovenskom testovaní žiakov 5. a 9. ročníka ZŠ</w:t>
      </w:r>
    </w:p>
    <w:p>
      <w:pPr>
        <w:pStyle w:val="Normal"/>
        <w:spacing w:lineRule="auto" w:line="240" w:before="0" w:after="0"/>
        <w:contextualSpacing/>
        <w:rPr>
          <w:rFonts w:ascii="Times New Roman" w:hAnsi="Times New Roman" w:eastAsia="Times New Roman" w:cs="Times New Roman"/>
          <w:sz w:val="24"/>
          <w:szCs w:val="24"/>
          <w:lang w:val="cs-CZ" w:eastAsia="cs-CZ"/>
        </w:rPr>
      </w:pPr>
      <w:r>
        <w:rPr>
          <w:rFonts w:eastAsia="Times New Roman" w:cs="Times New Roman" w:ascii="Times New Roman" w:hAnsi="Times New Roman"/>
          <w:sz w:val="24"/>
          <w:szCs w:val="24"/>
          <w:lang w:val="cs-CZ" w:eastAsia="cs-CZ"/>
        </w:rPr>
      </w:r>
    </w:p>
    <w:p>
      <w:pPr>
        <w:pStyle w:val="Normal"/>
        <w:spacing w:lineRule="auto" w:line="240" w:before="0" w:after="0"/>
        <w:contextualSpacing/>
        <w:rPr>
          <w:rFonts w:ascii="Times New Roman" w:hAnsi="Times New Roman" w:eastAsia="Calibri" w:cs="Times New Roman"/>
          <w:b/>
          <w:b/>
          <w:i/>
          <w:i/>
          <w:sz w:val="24"/>
          <w:szCs w:val="24"/>
        </w:rPr>
      </w:pPr>
      <w:r>
        <w:rPr>
          <w:rFonts w:eastAsia="Calibri" w:cs="Times New Roman" w:ascii="Times New Roman" w:hAnsi="Times New Roman"/>
          <w:b/>
          <w:i/>
          <w:sz w:val="24"/>
          <w:szCs w:val="24"/>
        </w:rPr>
        <w:t>KOMPARO</w:t>
      </w:r>
      <w:r>
        <w:rPr>
          <w:rFonts w:eastAsia="Calibri" w:cs="Times New Roman" w:ascii="Times New Roman" w:hAnsi="Times New Roman"/>
          <w:i/>
          <w:sz w:val="24"/>
          <w:szCs w:val="24"/>
        </w:rPr>
        <w:t xml:space="preserve">   2022/ 2023 </w:t>
      </w:r>
    </w:p>
    <w:tbl>
      <w:tblPr>
        <w:tblW w:w="6160" w:type="dxa"/>
        <w:jc w:val="left"/>
        <w:tblInd w:w="60" w:type="dxa"/>
        <w:tblLayout w:type="fixed"/>
        <w:tblCellMar>
          <w:top w:w="0" w:type="dxa"/>
          <w:left w:w="75" w:type="dxa"/>
          <w:bottom w:w="0" w:type="dxa"/>
          <w:right w:w="75" w:type="dxa"/>
        </w:tblCellMar>
        <w:tblLook w:firstRow="1" w:noVBand="1" w:lastRow="0" w:firstColumn="1" w:lastColumn="0" w:noHBand="0" w:val="04a0"/>
      </w:tblPr>
      <w:tblGrid>
        <w:gridCol w:w="1029"/>
        <w:gridCol w:w="1017"/>
        <w:gridCol w:w="910"/>
        <w:gridCol w:w="1091"/>
        <w:gridCol w:w="1182"/>
        <w:gridCol w:w="930"/>
      </w:tblGrid>
      <w:tr>
        <w:trPr>
          <w:trHeight w:val="300" w:hRule="atLeast"/>
        </w:trPr>
        <w:tc>
          <w:tcPr>
            <w:tcW w:w="1029"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Predmet</w:t>
            </w:r>
          </w:p>
        </w:tc>
        <w:tc>
          <w:tcPr>
            <w:tcW w:w="1017"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jc w:val="center"/>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Triedy</w:t>
            </w:r>
          </w:p>
        </w:tc>
        <w:tc>
          <w:tcPr>
            <w:tcW w:w="910"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jc w:val="center"/>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Počet ž.</w:t>
            </w:r>
          </w:p>
        </w:tc>
        <w:tc>
          <w:tcPr>
            <w:tcW w:w="1091"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jc w:val="center"/>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PÚ triedy</w:t>
            </w:r>
          </w:p>
        </w:tc>
        <w:tc>
          <w:tcPr>
            <w:tcW w:w="1182"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jc w:val="center"/>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PÚ školy</w:t>
            </w:r>
          </w:p>
        </w:tc>
        <w:tc>
          <w:tcPr>
            <w:tcW w:w="930" w:type="dxa"/>
            <w:tcBorders>
              <w:top w:val="single" w:sz="6" w:space="0" w:color="000000"/>
              <w:left w:val="single" w:sz="6" w:space="0" w:color="000000"/>
              <w:bottom w:val="single" w:sz="6" w:space="0" w:color="000000"/>
              <w:right w:val="single" w:sz="6" w:space="0" w:color="000000"/>
            </w:tcBorders>
            <w:shd w:color="auto" w:fill="8DB3E2" w:themeFill="text2" w:themeFillTint="66" w:val="clear"/>
            <w:vAlign w:val="center"/>
          </w:tcPr>
          <w:p>
            <w:pPr>
              <w:pStyle w:val="Normal"/>
              <w:widowControl w:val="false"/>
              <w:spacing w:lineRule="auto" w:line="240" w:before="0" w:after="0"/>
              <w:jc w:val="center"/>
              <w:rPr>
                <w:rFonts w:ascii="Times New Roman" w:hAnsi="Times New Roman" w:eastAsia="Times New Roman" w:cs="Times New Roman"/>
                <w:i/>
                <w:i/>
                <w:color w:val="1F497D" w:themeColor="text2"/>
                <w:sz w:val="24"/>
                <w:szCs w:val="24"/>
                <w:lang w:eastAsia="sk-SK"/>
              </w:rPr>
            </w:pPr>
            <w:r>
              <w:rPr>
                <w:rFonts w:eastAsia="Times New Roman" w:cs="Times New Roman" w:ascii="Times New Roman" w:hAnsi="Times New Roman"/>
                <w:b/>
                <w:bCs/>
                <w:i/>
                <w:color w:val="1F497D" w:themeColor="text2"/>
                <w:sz w:val="24"/>
                <w:szCs w:val="24"/>
                <w:lang w:eastAsia="sk-SK"/>
              </w:rPr>
              <w:t>PÚ SR</w:t>
            </w:r>
          </w:p>
        </w:tc>
      </w:tr>
      <w:tr>
        <w:trPr>
          <w:trHeight w:val="300" w:hRule="atLeast"/>
        </w:trPr>
        <w:tc>
          <w:tcPr>
            <w:tcW w:w="1029"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Cs/>
                <w:color w:val="000000"/>
                <w:sz w:val="24"/>
                <w:szCs w:val="24"/>
                <w:lang w:eastAsia="sk-SK"/>
              </w:rPr>
              <w:t>SJL 5</w:t>
            </w:r>
          </w:p>
        </w:tc>
        <w:tc>
          <w:tcPr>
            <w:tcW w:w="1017"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color w:val="000000"/>
                <w:sz w:val="24"/>
                <w:szCs w:val="24"/>
                <w:lang w:eastAsia="sk-SK"/>
              </w:rPr>
              <w:t> </w:t>
            </w:r>
            <w:r>
              <w:rPr>
                <w:rFonts w:eastAsia="Times New Roman" w:cs="Times New Roman" w:ascii="Times New Roman" w:hAnsi="Times New Roman"/>
                <w:b/>
                <w:bCs/>
                <w:sz w:val="24"/>
                <w:szCs w:val="24"/>
                <w:lang w:eastAsia="sk-SK"/>
              </w:rPr>
              <w:t>5.A,B,C</w:t>
            </w:r>
          </w:p>
        </w:tc>
        <w:tc>
          <w:tcPr>
            <w:tcW w:w="910"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17</w:t>
            </w:r>
          </w:p>
        </w:tc>
        <w:tc>
          <w:tcPr>
            <w:tcW w:w="1091"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
          </w:p>
        </w:tc>
        <w:tc>
          <w:tcPr>
            <w:tcW w:w="1182"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b/>
                <w:bCs/>
                <w:color w:val="000000"/>
                <w:sz w:val="24"/>
                <w:szCs w:val="24"/>
                <w:lang w:eastAsia="sk-SK"/>
              </w:rPr>
              <w:t>51,8%</w:t>
            </w:r>
          </w:p>
        </w:tc>
        <w:tc>
          <w:tcPr>
            <w:tcW w:w="930"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b/>
                <w:bCs/>
                <w:color w:val="000000"/>
                <w:sz w:val="24"/>
                <w:szCs w:val="24"/>
                <w:lang w:eastAsia="sk-SK"/>
              </w:rPr>
              <w:t>46,9%</w:t>
            </w:r>
          </w:p>
        </w:tc>
      </w:tr>
      <w:tr>
        <w:trPr>
          <w:trHeight w:val="300" w:hRule="exact"/>
        </w:trPr>
        <w:tc>
          <w:tcPr>
            <w:tcW w:w="10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
          </w:p>
        </w:tc>
        <w:tc>
          <w:tcPr>
            <w:tcW w:w="101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
          </w:p>
        </w:tc>
        <w:tc>
          <w:tcPr>
            <w:tcW w:w="9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tc>
        <w:tc>
          <w:tcPr>
            <w:tcW w:w="10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tc>
        <w:tc>
          <w:tcPr>
            <w:tcW w:w="118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
          </w:p>
        </w:tc>
        <w:tc>
          <w:tcPr>
            <w:tcW w:w="9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
          </w:p>
        </w:tc>
      </w:tr>
      <w:tr>
        <w:trPr>
          <w:trHeight w:val="300" w:hRule="atLeast"/>
        </w:trPr>
        <w:tc>
          <w:tcPr>
            <w:tcW w:w="1029"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t>MAT 5</w:t>
            </w:r>
          </w:p>
        </w:tc>
        <w:tc>
          <w:tcPr>
            <w:tcW w:w="1017"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t>5.A,B,C</w:t>
            </w:r>
          </w:p>
        </w:tc>
        <w:tc>
          <w:tcPr>
            <w:tcW w:w="910"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17</w:t>
            </w:r>
          </w:p>
        </w:tc>
        <w:tc>
          <w:tcPr>
            <w:tcW w:w="1091"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tc>
        <w:tc>
          <w:tcPr>
            <w:tcW w:w="1182"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t>51,18%</w:t>
            </w:r>
          </w:p>
        </w:tc>
        <w:tc>
          <w:tcPr>
            <w:tcW w:w="930"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t>59,2%</w:t>
            </w:r>
          </w:p>
        </w:tc>
      </w:tr>
    </w:tbl>
    <w:p>
      <w:pPr>
        <w:pStyle w:val="Normal"/>
        <w:spacing w:lineRule="auto" w:line="240" w:before="0" w:after="0"/>
        <w:jc w:val="both"/>
        <w:rPr>
          <w:rFonts w:ascii="Times New Roman" w:hAnsi="Times New Roman" w:eastAsia="Times New Roman" w:cs="Times New Roman"/>
          <w:sz w:val="24"/>
          <w:szCs w:val="24"/>
          <w:lang w:val="cs-CZ" w:eastAsia="cs-CZ"/>
        </w:rPr>
      </w:pPr>
      <w:r>
        <w:rPr>
          <w:rFonts w:eastAsia="Times New Roman" w:cs="Times New Roman" w:ascii="Times New Roman" w:hAnsi="Times New Roman"/>
          <w:sz w:val="24"/>
          <w:szCs w:val="24"/>
          <w:lang w:val="cs-CZ" w:eastAsia="cs-CZ"/>
        </w:rPr>
        <w:t>PÚ – priemerná úspešnosť</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contextualSpacing/>
        <w:rPr>
          <w:rFonts w:ascii="Times New Roman" w:hAnsi="Times New Roman" w:eastAsia="Calibri" w:cs="Times New Roman"/>
          <w:b/>
          <w:b/>
          <w:i/>
          <w:i/>
          <w:sz w:val="24"/>
          <w:szCs w:val="24"/>
        </w:rPr>
      </w:pPr>
      <w:r>
        <w:rPr>
          <w:rFonts w:eastAsia="Calibri" w:cs="Times New Roman" w:ascii="Times New Roman" w:hAnsi="Times New Roman"/>
          <w:b/>
          <w:i/>
          <w:sz w:val="24"/>
          <w:szCs w:val="24"/>
        </w:rPr>
        <w:t>Testovanie 5 – 2023 bolo rozhodnutím ministra školstva zrušené</w:t>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03"/>
        <w:gridCol w:w="2303"/>
        <w:gridCol w:w="2303"/>
        <w:gridCol w:w="2302"/>
      </w:tblGrid>
      <w:tr>
        <w:trPr/>
        <w:tc>
          <w:tcPr>
            <w:tcW w:w="2303" w:type="dxa"/>
            <w:tcBorders/>
            <w:shd w:color="auto" w:fill="8DB3E2" w:themeFill="text2" w:themeFillTint="66" w:val="clear"/>
          </w:tcPr>
          <w:p>
            <w:pPr>
              <w:pStyle w:val="Normal"/>
              <w:widowControl/>
              <w:spacing w:lineRule="auto" w:line="240" w:before="0" w:after="0"/>
              <w:contextualSpacing/>
              <w:jc w:val="left"/>
              <w:rPr>
                <w:rFonts w:eastAsia="Calibri"/>
                <w:b/>
                <w:b/>
                <w:sz w:val="24"/>
                <w:szCs w:val="24"/>
              </w:rPr>
            </w:pPr>
            <w:r>
              <w:rPr>
                <w:rFonts w:eastAsia="Calibri" w:cs="Times New Roman" w:ascii="Times New Roman" w:hAnsi="Times New Roman"/>
                <w:b/>
                <w:kern w:val="0"/>
                <w:sz w:val="24"/>
                <w:szCs w:val="24"/>
                <w:lang w:val="sk-SK" w:eastAsia="sk-SK" w:bidi="ar-SA"/>
              </w:rPr>
              <w:t>T5 – 2022 SJL</w:t>
            </w:r>
          </w:p>
        </w:tc>
        <w:tc>
          <w:tcPr>
            <w:tcW w:w="2303" w:type="dxa"/>
            <w:tcBorders/>
            <w:shd w:color="auto" w:fill="8DB3E2" w:themeFill="text2" w:themeFillTint="66" w:val="clear"/>
          </w:tcPr>
          <w:p>
            <w:pPr>
              <w:pStyle w:val="Normal"/>
              <w:widowControl/>
              <w:spacing w:lineRule="auto" w:line="240" w:before="0" w:after="0"/>
              <w:contextualSpacing/>
              <w:jc w:val="center"/>
              <w:rPr>
                <w:rFonts w:eastAsia="Calibri"/>
                <w:b/>
                <w:b/>
                <w:sz w:val="24"/>
                <w:szCs w:val="24"/>
              </w:rPr>
            </w:pPr>
            <w:r>
              <w:rPr>
                <w:rFonts w:eastAsia="Calibri" w:cs="Times New Roman" w:ascii="Times New Roman" w:hAnsi="Times New Roman"/>
                <w:b/>
                <w:kern w:val="0"/>
                <w:sz w:val="24"/>
                <w:szCs w:val="24"/>
                <w:lang w:val="sk-SK" w:eastAsia="sk-SK" w:bidi="ar-SA"/>
              </w:rPr>
              <w:t>%</w:t>
            </w:r>
          </w:p>
        </w:tc>
        <w:tc>
          <w:tcPr>
            <w:tcW w:w="2303" w:type="dxa"/>
            <w:tcBorders/>
            <w:shd w:color="auto" w:fill="8DB3E2" w:themeFill="text2" w:themeFillTint="66" w:val="clear"/>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b/>
                <w:kern w:val="0"/>
                <w:sz w:val="24"/>
                <w:szCs w:val="24"/>
                <w:lang w:val="sk-SK" w:eastAsia="sk-SK" w:bidi="ar-SA"/>
              </w:rPr>
              <w:t>T5 – 2022 M</w:t>
            </w:r>
          </w:p>
        </w:tc>
        <w:tc>
          <w:tcPr>
            <w:tcW w:w="2302" w:type="dxa"/>
            <w:tcBorders/>
            <w:shd w:color="auto" w:fill="8DB3E2" w:themeFill="text2" w:themeFillTint="66" w:val="clear"/>
          </w:tcPr>
          <w:p>
            <w:pPr>
              <w:pStyle w:val="Normal"/>
              <w:widowControl/>
              <w:spacing w:lineRule="auto" w:line="240" w:before="0" w:after="0"/>
              <w:contextualSpacing/>
              <w:jc w:val="center"/>
              <w:rPr>
                <w:rFonts w:eastAsia="Calibri"/>
                <w:b/>
                <w:b/>
                <w:sz w:val="24"/>
                <w:szCs w:val="24"/>
              </w:rPr>
            </w:pPr>
            <w:r>
              <w:rPr>
                <w:rFonts w:eastAsia="Calibri" w:cs="Times New Roman" w:ascii="Times New Roman" w:hAnsi="Times New Roman"/>
                <w:b/>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Priemerná úspeš. SR</w:t>
            </w:r>
          </w:p>
        </w:tc>
        <w:tc>
          <w:tcPr>
            <w:tcW w:w="2303"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kern w:val="0"/>
                <w:sz w:val="24"/>
                <w:szCs w:val="24"/>
                <w:lang w:val="sk-SK" w:eastAsia="sk-SK" w:bidi="ar-SA"/>
              </w:rPr>
              <w:t>%</w:t>
            </w:r>
          </w:p>
        </w:tc>
        <w:tc>
          <w:tcPr>
            <w:tcW w:w="2303" w:type="dxa"/>
            <w:tcBorders/>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kern w:val="0"/>
                <w:sz w:val="24"/>
                <w:szCs w:val="24"/>
                <w:lang w:val="sk-SK" w:eastAsia="sk-SK" w:bidi="ar-SA"/>
              </w:rPr>
              <w:t>Priemerná úspeš. SR</w:t>
            </w:r>
          </w:p>
        </w:tc>
        <w:tc>
          <w:tcPr>
            <w:tcW w:w="2302"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Priemerná úspeš. ZŠ</w:t>
            </w:r>
          </w:p>
        </w:tc>
        <w:tc>
          <w:tcPr>
            <w:tcW w:w="2303"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kern w:val="0"/>
                <w:sz w:val="24"/>
                <w:szCs w:val="24"/>
                <w:lang w:val="sk-SK" w:eastAsia="sk-SK" w:bidi="ar-SA"/>
              </w:rPr>
              <w:t xml:space="preserve"> </w:t>
            </w:r>
            <w:r>
              <w:rPr>
                <w:rFonts w:eastAsia="Calibri" w:cs="Times New Roman" w:ascii="Times New Roman" w:hAnsi="Times New Roman"/>
                <w:kern w:val="0"/>
                <w:sz w:val="24"/>
                <w:szCs w:val="24"/>
                <w:lang w:val="sk-SK" w:eastAsia="sk-SK" w:bidi="ar-SA"/>
              </w:rPr>
              <w:t>%</w:t>
            </w:r>
          </w:p>
        </w:tc>
        <w:tc>
          <w:tcPr>
            <w:tcW w:w="2303" w:type="dxa"/>
            <w:tcBorders/>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kern w:val="0"/>
                <w:sz w:val="24"/>
                <w:szCs w:val="24"/>
                <w:lang w:val="sk-SK" w:eastAsia="sk-SK" w:bidi="ar-SA"/>
              </w:rPr>
              <w:t>Priemerná úspeš. ZŠ</w:t>
            </w:r>
          </w:p>
        </w:tc>
        <w:tc>
          <w:tcPr>
            <w:tcW w:w="2302" w:type="dxa"/>
            <w:tcBorders/>
          </w:tcPr>
          <w:p>
            <w:pPr>
              <w:pStyle w:val="Normal"/>
              <w:widowControl/>
              <w:spacing w:lineRule="auto" w:line="240" w:before="0" w:after="0"/>
              <w:contextualSpacing/>
              <w:jc w:val="center"/>
              <w:rPr>
                <w:rFonts w:eastAsia="Calibri"/>
                <w:b/>
                <w:b/>
                <w:sz w:val="24"/>
                <w:szCs w:val="24"/>
                <w:u w:val="single"/>
              </w:rPr>
            </w:pPr>
            <w:r>
              <w:rPr>
                <w:rFonts w:cs="Times New Roman" w:ascii="Times New Roman" w:hAnsi="Times New Roman"/>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Rozdiel</w:t>
            </w:r>
          </w:p>
        </w:tc>
        <w:tc>
          <w:tcPr>
            <w:tcW w:w="2303"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b/>
                <w:kern w:val="0"/>
                <w:sz w:val="24"/>
                <w:szCs w:val="24"/>
                <w:lang w:val="sk-SK" w:eastAsia="sk-SK" w:bidi="ar-SA"/>
              </w:rPr>
              <w:t xml:space="preserve"> </w:t>
            </w:r>
            <w:r>
              <w:rPr>
                <w:rFonts w:eastAsia="Calibri" w:cs="Times New Roman" w:ascii="Times New Roman" w:hAnsi="Times New Roman"/>
                <w:kern w:val="0"/>
                <w:sz w:val="24"/>
                <w:szCs w:val="24"/>
                <w:lang w:val="sk-SK" w:eastAsia="sk-SK" w:bidi="ar-SA"/>
              </w:rPr>
              <w:t>%</w:t>
            </w:r>
          </w:p>
        </w:tc>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Rozdiel</w:t>
            </w:r>
          </w:p>
        </w:tc>
        <w:tc>
          <w:tcPr>
            <w:tcW w:w="2302"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kern w:val="0"/>
                <w:sz w:val="24"/>
                <w:szCs w:val="24"/>
                <w:lang w:val="sk-SK" w:eastAsia="sk-SK" w:bidi="ar-SA"/>
              </w:rPr>
              <w:t>%</w:t>
            </w:r>
          </w:p>
        </w:tc>
      </w:tr>
    </w:tbl>
    <w:p>
      <w:pPr>
        <w:pStyle w:val="Normal"/>
        <w:spacing w:lineRule="auto" w:line="240" w:before="0" w:after="0"/>
        <w:contextualSpacing/>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spacing w:lineRule="auto" w:line="240" w:before="0" w:after="0"/>
        <w:contextualSpacing/>
        <w:rPr>
          <w:rFonts w:ascii="Times New Roman" w:hAnsi="Times New Roman" w:eastAsia="Calibri" w:cs="Times New Roman"/>
          <w:b/>
          <w:b/>
          <w:i/>
          <w:i/>
          <w:sz w:val="24"/>
          <w:szCs w:val="24"/>
        </w:rPr>
      </w:pPr>
      <w:r>
        <w:rPr>
          <w:rFonts w:eastAsia="Calibri" w:cs="Times New Roman" w:ascii="Times New Roman" w:hAnsi="Times New Roman"/>
          <w:b/>
          <w:i/>
          <w:sz w:val="24"/>
          <w:szCs w:val="24"/>
        </w:rPr>
        <w:t>Testovanie 9 – 2022</w:t>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03"/>
        <w:gridCol w:w="2303"/>
        <w:gridCol w:w="2303"/>
        <w:gridCol w:w="2302"/>
      </w:tblGrid>
      <w:tr>
        <w:trPr/>
        <w:tc>
          <w:tcPr>
            <w:tcW w:w="2303" w:type="dxa"/>
            <w:tcBorders/>
            <w:shd w:color="auto" w:fill="8DB3E2" w:themeFill="text2" w:themeFillTint="66" w:val="clear"/>
          </w:tcPr>
          <w:p>
            <w:pPr>
              <w:pStyle w:val="Normal"/>
              <w:widowControl/>
              <w:spacing w:lineRule="auto" w:line="240" w:before="0" w:after="0"/>
              <w:contextualSpacing/>
              <w:jc w:val="left"/>
              <w:rPr>
                <w:rFonts w:eastAsia="Calibri"/>
                <w:b/>
                <w:b/>
                <w:sz w:val="24"/>
                <w:szCs w:val="24"/>
              </w:rPr>
            </w:pPr>
            <w:r>
              <w:rPr>
                <w:rFonts w:eastAsia="Calibri" w:cs="Times New Roman" w:ascii="Times New Roman" w:hAnsi="Times New Roman"/>
                <w:b/>
                <w:kern w:val="0"/>
                <w:sz w:val="24"/>
                <w:szCs w:val="24"/>
                <w:lang w:val="sk-SK" w:eastAsia="sk-SK" w:bidi="ar-SA"/>
              </w:rPr>
              <w:t>T9 – 2022 SJL</w:t>
            </w:r>
          </w:p>
        </w:tc>
        <w:tc>
          <w:tcPr>
            <w:tcW w:w="2303" w:type="dxa"/>
            <w:tcBorders/>
            <w:shd w:color="auto" w:fill="8DB3E2" w:themeFill="text2" w:themeFillTint="66" w:val="clear"/>
          </w:tcPr>
          <w:p>
            <w:pPr>
              <w:pStyle w:val="Normal"/>
              <w:widowControl/>
              <w:spacing w:lineRule="auto" w:line="240" w:before="0" w:after="0"/>
              <w:contextualSpacing/>
              <w:jc w:val="center"/>
              <w:rPr>
                <w:rFonts w:eastAsia="Calibri"/>
                <w:b/>
                <w:b/>
                <w:sz w:val="24"/>
                <w:szCs w:val="24"/>
              </w:rPr>
            </w:pPr>
            <w:r>
              <w:rPr>
                <w:rFonts w:eastAsia="Calibri" w:cs="Times New Roman" w:ascii="Times New Roman" w:hAnsi="Times New Roman"/>
                <w:b/>
                <w:kern w:val="0"/>
                <w:sz w:val="24"/>
                <w:szCs w:val="24"/>
                <w:lang w:val="sk-SK" w:eastAsia="sk-SK" w:bidi="ar-SA"/>
              </w:rPr>
              <w:t>%</w:t>
            </w:r>
          </w:p>
        </w:tc>
        <w:tc>
          <w:tcPr>
            <w:tcW w:w="2303" w:type="dxa"/>
            <w:tcBorders/>
            <w:shd w:color="auto" w:fill="8DB3E2" w:themeFill="text2" w:themeFillTint="66" w:val="clear"/>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b/>
                <w:kern w:val="0"/>
                <w:sz w:val="24"/>
                <w:szCs w:val="24"/>
                <w:lang w:val="sk-SK" w:eastAsia="sk-SK" w:bidi="ar-SA"/>
              </w:rPr>
              <w:t>T9 – 2022 M</w:t>
            </w:r>
          </w:p>
        </w:tc>
        <w:tc>
          <w:tcPr>
            <w:tcW w:w="2302" w:type="dxa"/>
            <w:tcBorders/>
            <w:shd w:color="auto" w:fill="8DB3E2" w:themeFill="text2" w:themeFillTint="66" w:val="clear"/>
          </w:tcPr>
          <w:p>
            <w:pPr>
              <w:pStyle w:val="Normal"/>
              <w:widowControl/>
              <w:spacing w:lineRule="auto" w:line="240" w:before="0" w:after="0"/>
              <w:contextualSpacing/>
              <w:jc w:val="center"/>
              <w:rPr>
                <w:rFonts w:eastAsia="Calibri"/>
                <w:b/>
                <w:b/>
                <w:sz w:val="24"/>
                <w:szCs w:val="24"/>
              </w:rPr>
            </w:pPr>
            <w:r>
              <w:rPr>
                <w:rFonts w:eastAsia="Calibri" w:cs="Times New Roman" w:ascii="Times New Roman" w:hAnsi="Times New Roman"/>
                <w:b/>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Priemerná úspeš. SR</w:t>
            </w:r>
          </w:p>
        </w:tc>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b/>
                <w:kern w:val="0"/>
                <w:sz w:val="24"/>
                <w:szCs w:val="24"/>
                <w:lang w:val="sk-SK" w:eastAsia="sk-SK" w:bidi="ar-SA"/>
              </w:rPr>
              <w:t xml:space="preserve">            </w:t>
            </w:r>
            <w:r>
              <w:rPr>
                <w:rFonts w:eastAsia="Calibri" w:cs="Times New Roman" w:ascii="Times New Roman" w:hAnsi="Times New Roman"/>
                <w:b/>
                <w:kern w:val="0"/>
                <w:sz w:val="24"/>
                <w:szCs w:val="24"/>
                <w:lang w:val="sk-SK" w:eastAsia="sk-SK" w:bidi="ar-SA"/>
              </w:rPr>
              <w:t>58,7</w:t>
            </w:r>
            <w:r>
              <w:rPr>
                <w:rFonts w:eastAsia="Calibri" w:cs="Times New Roman" w:ascii="Times New Roman" w:hAnsi="Times New Roman"/>
                <w:kern w:val="0"/>
                <w:sz w:val="24"/>
                <w:szCs w:val="24"/>
                <w:lang w:val="sk-SK" w:eastAsia="sk-SK" w:bidi="ar-SA"/>
              </w:rPr>
              <w:t>%</w:t>
            </w:r>
          </w:p>
        </w:tc>
        <w:tc>
          <w:tcPr>
            <w:tcW w:w="2303" w:type="dxa"/>
            <w:tcBorders/>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kern w:val="0"/>
                <w:sz w:val="24"/>
                <w:szCs w:val="24"/>
                <w:lang w:val="sk-SK" w:eastAsia="sk-SK" w:bidi="ar-SA"/>
              </w:rPr>
              <w:t>Priemerná úspeš. SR</w:t>
            </w:r>
          </w:p>
        </w:tc>
        <w:tc>
          <w:tcPr>
            <w:tcW w:w="2302"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b/>
                <w:kern w:val="0"/>
                <w:sz w:val="24"/>
                <w:szCs w:val="24"/>
                <w:lang w:val="sk-SK" w:eastAsia="sk-SK" w:bidi="ar-SA"/>
              </w:rPr>
              <w:t xml:space="preserve">55,1 </w:t>
            </w:r>
            <w:r>
              <w:rPr>
                <w:rFonts w:eastAsia="Calibri" w:cs="Times New Roman" w:ascii="Times New Roman" w:hAnsi="Times New Roman"/>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Priemerná úspeš. ZŠ</w:t>
            </w:r>
          </w:p>
        </w:tc>
        <w:tc>
          <w:tcPr>
            <w:tcW w:w="2303"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b/>
                <w:kern w:val="0"/>
                <w:sz w:val="24"/>
                <w:szCs w:val="24"/>
                <w:lang w:val="sk-SK" w:eastAsia="sk-SK" w:bidi="ar-SA"/>
              </w:rPr>
              <w:t xml:space="preserve">57,0 </w:t>
            </w:r>
            <w:r>
              <w:rPr>
                <w:rFonts w:eastAsia="Calibri" w:cs="Times New Roman" w:ascii="Times New Roman" w:hAnsi="Times New Roman"/>
                <w:kern w:val="0"/>
                <w:sz w:val="24"/>
                <w:szCs w:val="24"/>
                <w:lang w:val="sk-SK" w:eastAsia="sk-SK" w:bidi="ar-SA"/>
              </w:rPr>
              <w:t>%</w:t>
            </w:r>
          </w:p>
        </w:tc>
        <w:tc>
          <w:tcPr>
            <w:tcW w:w="2303" w:type="dxa"/>
            <w:tcBorders/>
          </w:tcPr>
          <w:p>
            <w:pPr>
              <w:pStyle w:val="Normal"/>
              <w:widowControl/>
              <w:spacing w:lineRule="auto" w:line="240" w:before="0" w:after="0"/>
              <w:contextualSpacing/>
              <w:jc w:val="left"/>
              <w:rPr>
                <w:rFonts w:eastAsia="Calibri"/>
                <w:b/>
                <w:b/>
                <w:sz w:val="24"/>
                <w:szCs w:val="24"/>
                <w:u w:val="single"/>
              </w:rPr>
            </w:pPr>
            <w:r>
              <w:rPr>
                <w:rFonts w:eastAsia="Calibri" w:cs="Times New Roman" w:ascii="Times New Roman" w:hAnsi="Times New Roman"/>
                <w:kern w:val="0"/>
                <w:sz w:val="24"/>
                <w:szCs w:val="24"/>
                <w:lang w:val="sk-SK" w:eastAsia="sk-SK" w:bidi="ar-SA"/>
              </w:rPr>
              <w:t>Priemerná úspeš. ZŠ</w:t>
            </w:r>
          </w:p>
        </w:tc>
        <w:tc>
          <w:tcPr>
            <w:tcW w:w="2302" w:type="dxa"/>
            <w:tcBorders/>
          </w:tcPr>
          <w:p>
            <w:pPr>
              <w:pStyle w:val="Normal"/>
              <w:widowControl/>
              <w:spacing w:lineRule="auto" w:line="240" w:before="0" w:after="0"/>
              <w:contextualSpacing/>
              <w:jc w:val="center"/>
              <w:rPr>
                <w:rFonts w:eastAsia="Calibri"/>
                <w:b/>
                <w:b/>
                <w:sz w:val="24"/>
                <w:szCs w:val="24"/>
                <w:u w:val="single"/>
              </w:rPr>
            </w:pPr>
            <w:r>
              <w:rPr>
                <w:rFonts w:cs="Times New Roman" w:ascii="Times New Roman" w:hAnsi="Times New Roman"/>
                <w:b/>
                <w:kern w:val="0"/>
                <w:sz w:val="24"/>
                <w:szCs w:val="24"/>
                <w:lang w:val="sk-SK" w:eastAsia="sk-SK" w:bidi="ar-SA"/>
              </w:rPr>
              <w:t xml:space="preserve">55,0 </w:t>
            </w:r>
            <w:r>
              <w:rPr>
                <w:rFonts w:cs="Times New Roman" w:ascii="Times New Roman" w:hAnsi="Times New Roman"/>
                <w:kern w:val="0"/>
                <w:sz w:val="24"/>
                <w:szCs w:val="24"/>
                <w:lang w:val="sk-SK" w:eastAsia="sk-SK" w:bidi="ar-SA"/>
              </w:rPr>
              <w:t>%</w:t>
            </w:r>
          </w:p>
        </w:tc>
      </w:tr>
      <w:tr>
        <w:trPr/>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Rozdiel</w:t>
            </w:r>
          </w:p>
        </w:tc>
        <w:tc>
          <w:tcPr>
            <w:tcW w:w="2303"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b/>
                <w:kern w:val="0"/>
                <w:sz w:val="24"/>
                <w:szCs w:val="24"/>
                <w:lang w:val="sk-SK" w:eastAsia="sk-SK" w:bidi="ar-SA"/>
              </w:rPr>
              <w:t>-1,7</w:t>
            </w:r>
            <w:r>
              <w:rPr>
                <w:rFonts w:eastAsia="Calibri" w:cs="Times New Roman" w:ascii="Times New Roman" w:hAnsi="Times New Roman"/>
                <w:kern w:val="0"/>
                <w:sz w:val="24"/>
                <w:szCs w:val="24"/>
                <w:lang w:val="sk-SK" w:eastAsia="sk-SK" w:bidi="ar-SA"/>
              </w:rPr>
              <w:t xml:space="preserve"> %</w:t>
            </w:r>
          </w:p>
        </w:tc>
        <w:tc>
          <w:tcPr>
            <w:tcW w:w="2303" w:type="dxa"/>
            <w:tcBorders/>
          </w:tcPr>
          <w:p>
            <w:pPr>
              <w:pStyle w:val="Normal"/>
              <w:widowControl/>
              <w:spacing w:lineRule="auto" w:line="240" w:before="0" w:after="0"/>
              <w:contextualSpacing/>
              <w:jc w:val="left"/>
              <w:rPr>
                <w:rFonts w:eastAsia="Calibri"/>
                <w:sz w:val="24"/>
                <w:szCs w:val="24"/>
              </w:rPr>
            </w:pPr>
            <w:r>
              <w:rPr>
                <w:rFonts w:eastAsia="Calibri" w:cs="Times New Roman" w:ascii="Times New Roman" w:hAnsi="Times New Roman"/>
                <w:kern w:val="0"/>
                <w:sz w:val="24"/>
                <w:szCs w:val="24"/>
                <w:lang w:val="sk-SK" w:eastAsia="sk-SK" w:bidi="ar-SA"/>
              </w:rPr>
              <w:t>Rozdiel</w:t>
            </w:r>
          </w:p>
        </w:tc>
        <w:tc>
          <w:tcPr>
            <w:tcW w:w="2302" w:type="dxa"/>
            <w:tcBorders/>
          </w:tcPr>
          <w:p>
            <w:pPr>
              <w:pStyle w:val="Normal"/>
              <w:widowControl/>
              <w:spacing w:lineRule="auto" w:line="240" w:before="0" w:after="0"/>
              <w:contextualSpacing/>
              <w:jc w:val="center"/>
              <w:rPr>
                <w:rFonts w:eastAsia="Calibri"/>
                <w:sz w:val="24"/>
                <w:szCs w:val="24"/>
              </w:rPr>
            </w:pPr>
            <w:r>
              <w:rPr>
                <w:rFonts w:eastAsia="Calibri" w:cs="Times New Roman" w:ascii="Times New Roman" w:hAnsi="Times New Roman"/>
                <w:b/>
                <w:kern w:val="0"/>
                <w:sz w:val="24"/>
                <w:szCs w:val="24"/>
                <w:lang w:val="sk-SK" w:eastAsia="sk-SK" w:bidi="ar-SA"/>
              </w:rPr>
              <w:t>-0,1</w:t>
            </w:r>
            <w:r>
              <w:rPr>
                <w:rFonts w:eastAsia="Calibri" w:cs="Times New Roman" w:ascii="Times New Roman" w:hAnsi="Times New Roman"/>
                <w:kern w:val="0"/>
                <w:sz w:val="24"/>
                <w:szCs w:val="24"/>
                <w:lang w:val="sk-SK" w:eastAsia="sk-SK" w:bidi="ar-SA"/>
              </w:rPr>
              <w:t xml:space="preserve"> %</w:t>
            </w:r>
          </w:p>
        </w:tc>
      </w:tr>
    </w:tbl>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Záver</w:t>
      </w:r>
    </w:p>
    <w:p>
      <w:pPr>
        <w:pStyle w:val="Normal"/>
        <w:spacing w:lineRule="auto" w:line="240" w:before="0" w:after="0"/>
        <w:rPr>
          <w:rFonts w:ascii="Times New Roman" w:hAnsi="Times New Roman" w:eastAsia="Times New Roman" w:cs="Times New Roman"/>
          <w:b/>
          <w:b/>
          <w:color w:val="548DD4" w:themeColor="text2" w:themeTint="99"/>
          <w:sz w:val="24"/>
          <w:szCs w:val="24"/>
          <w:lang w:eastAsia="cs-CZ"/>
        </w:rPr>
      </w:pPr>
      <w:r>
        <w:rPr>
          <w:rFonts w:eastAsia="Times New Roman" w:cs="Times New Roman" w:ascii="Times New Roman" w:hAnsi="Times New Roman"/>
          <w:b/>
          <w:color w:val="548DD4" w:themeColor="text2" w:themeTint="99"/>
          <w:sz w:val="24"/>
          <w:szCs w:val="24"/>
          <w:lang w:eastAsia="cs-CZ"/>
        </w:rPr>
      </w:r>
    </w:p>
    <w:p>
      <w:pPr>
        <w:pStyle w:val="Normal"/>
        <w:spacing w:lineRule="auto" w:line="240" w:before="0" w:after="0"/>
        <w:ind w:firstLine="708"/>
        <w:jc w:val="both"/>
        <w:rPr>
          <w:rFonts w:ascii="Times New Roman" w:hAnsi="Times New Roman" w:eastAsia="Times New Roman" w:cs="Times New Roman"/>
          <w:color w:val="548DD4" w:themeColor="text2" w:themeTint="99"/>
          <w:sz w:val="24"/>
          <w:szCs w:val="24"/>
          <w:lang w:eastAsia="cs-CZ"/>
        </w:rPr>
      </w:pPr>
      <w:r>
        <w:rPr>
          <w:rFonts w:cs="Times New Roman" w:ascii="Times New Roman" w:hAnsi="Times New Roman"/>
          <w:sz w:val="24"/>
          <w:szCs w:val="24"/>
        </w:rPr>
        <w:t>Minulý školský rok hodnotíme znovu ako čiastočne úspešný. Dosiahli sme dobré výsledky vo výchovnovzdelávacom procese. Rodičovská verejnosť vníma pozitívne našu prácu hlavne počas dištančného vzdelávania, kde vyučovanie prebiehalo online formou podľa pevne stanoveného rozvrhu, berúc do úvahy psycho-hygienické potreby žiakov. Aj naďalej pretrváva záujem o zápis detí na našu školu, preto je našim cieľom aj naďalej zvyšovať atraktivitu našej školy pre žiakov a rodičov, vytvárať konkurencieschopnú školu voči iným školám v meste a pokračovať v tradícii realizovania projektov Erasmus+.</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Správu o výchovno-vzdelávacej činnosti školy vypracovala: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Mgr. Milena Kravcová, riaditeľka školy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Podklady pre správu vypracovali: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Mgr. Peter Vasilega, výchovný poradca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Katarína Novák BA, špeciálny pedagóg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Koordinátori MZ a PK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Anna Hudáková, hospodárka školy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Správa je vypracovaná v zmysle: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Vyhlášky MŠ SR č. 9/2006 o štruktúre a obsahu správ o výchovno-vzdelávacej činnosti, jej       výsledkoch a podmienkach škôl a školských zariadení.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 Metodického usmernenia č. 10/2006-R k vyhláške MŠ SR č. 9/2006.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Koncepcie školy na roky 2018 – 2023.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 Plánu práce ZŠ s MŠ Pod Vinbargom 1 v Bardejove na školský rok 2022/2023.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5. Vyhodnotenia plnenia plánov v jednotlivých metodických združení a predmetových komisií.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6. Informácie o činnosti Rady školy pri ZŠ s MŠ Pod Vinbargom 1 v Bardejove.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7. Správy o hospodárení za predchádzajúci kalendárny rok.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eastAsia="Times New Roman" w:cs="Times New Roman"/>
          <w:i/>
          <w:i/>
          <w:sz w:val="24"/>
          <w:szCs w:val="24"/>
          <w:lang w:eastAsia="cs-CZ"/>
        </w:rPr>
      </w:pPr>
      <w:r>
        <w:rPr>
          <w:rFonts w:cs="Times New Roman" w:ascii="Times New Roman" w:hAnsi="Times New Roman"/>
          <w:b/>
          <w:i/>
          <w:sz w:val="24"/>
          <w:szCs w:val="24"/>
        </w:rPr>
        <w:t>Prerokované v pedagogickej rade dňa:</w:t>
      </w:r>
      <w:r>
        <w:rPr>
          <w:rFonts w:cs="Times New Roman" w:ascii="Times New Roman" w:hAnsi="Times New Roman"/>
          <w:i/>
          <w:sz w:val="24"/>
          <w:szCs w:val="24"/>
        </w:rPr>
        <w:t xml:space="preserve">  28.08.2023</w:t>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Plnenie koncepčného zámeru rozvoja Základnej školy s materskou školou Pod Vinbargom 1 v Bardejove</w:t>
      </w:r>
    </w:p>
    <w:p>
      <w:pPr>
        <w:pStyle w:val="Normal"/>
        <w:spacing w:lineRule="auto" w:line="240" w:before="0" w:after="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jc w:val="both"/>
        <w:rPr>
          <w:rFonts w:ascii="Times New Roman" w:hAnsi="Times New Roman" w:cs="Times New Roman"/>
          <w:color w:val="548DD4" w:themeColor="text2" w:themeTint="99"/>
          <w:sz w:val="24"/>
          <w:szCs w:val="24"/>
        </w:rPr>
      </w:pPr>
      <w:r>
        <w:rPr>
          <w:rFonts w:cs="Times New Roman" w:ascii="Times New Roman" w:hAnsi="Times New Roman"/>
          <w:color w:val="548DD4" w:themeColor="text2" w:themeTint="99"/>
          <w:sz w:val="24"/>
          <w:szCs w:val="24"/>
        </w:rPr>
        <w:t>Ciele, ktoré si škola určila v koncepčnom zámere rozvoja školy</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
        <w:t>Za najdôležitejší cieľ sme si v koncepcii rozvoja ZŠ s MŠ Pod Vinbargom 1 v Bardejove stanovili neklesajúci trend počtu detí na škole. Tento cieľ sa snažíme dosiahnuť nadštandardnou ponukou vo výchove a vzdelávaní žiakov, zabezpečením kvalifikovaných pedagogických zamestnancov pre výchovu a vzdelávanie, tesnou spoluprácou s materskými školami v meste a propagáciou školy navonok prostredníctvom masmédií a aktívnou účasťou niekoľkých projektoch Erasmus+. V záujme uvedeného sme si v pláne práce školy vytýčili tieto ciele:</w:t>
      </w:r>
    </w:p>
    <w:p>
      <w:pPr>
        <w:pStyle w:val="Normal"/>
        <w:tabs>
          <w:tab w:val="clear" w:pos="708"/>
          <w:tab w:val="left" w:pos="5378" w:leader="none"/>
        </w:tabs>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Viesť dialóg s rodičmi ako objednávateľmi vzdelania svojich detí v našej organizácii o obsahu (učebné plány) a o forme (klasické a alternatívne vzdelávanie) prostredníctvom triednych aktívov RZ.</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Modernizovať metódy a formy výučby, predovšetkým zavádzaním IKT do vyučovacieho procesu jeho internatizáciou.</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Poskytovať služby ŠKD pre ročníky 1.-5.</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Rozširovať ponuku záujmových útvarov školy.</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Pri organizačných zmenách uvoľňovať nekvalifikovaných zamestnancov alebo zamestnancov, ktorí nedosahujú požadované výsledky v práci.</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cs="Times New Roman" w:ascii="Times New Roman" w:hAnsi="Times New Roman"/>
          <w:sz w:val="24"/>
          <w:szCs w:val="24"/>
        </w:rPr>
        <w:t>Naďalej zapájať školu do medzinárodných projektov financovaných zo zdrojov európskych fondov ako je ERASMUS+.</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Zapájať školu do projektov vyhlasovaných organizáciami na Slovensku a dotovaných z ich prostriedkov. Z týchto zdrojov vylepšovať materiálno-technickú základňu školy</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Pokračovať v integrácii a inklúzii žiakov so ŠVVP.</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Poskytovať vzdelanie v CUJ už od 1. ročníka.</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Spolupracovať so športovým klubom HC-46.</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Organizovať dni otvorených dverí pre rodičov a žiakov.</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Internetovú stránku realizovať tak, aby poskytovala aktuálne informácie o práci školy, jej aktivitách a dosiahnutých výsledkoch vo výchove a vzdelávaní.</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Spolupracovať s radou rodičov a s občianskym združením LASTOVIČKA pri zabezpečovaní prostriedkov na nákup moderných učebných pomôcok a spolufinancovaní medzinárodných projektov.</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Pripravovať naďalej pre rodičov ZŠ ale aj MŠ ochutnávky jedál podávaných v školskej jedálni.</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Naďalej sledovať vývojovú tendenciu v dosahovaní výchovno-vzdelávacích výsledkov žiakov školy a ihneď reagovať na prípadný pokles výkonov.</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Poskytovať žiakom, ktorí sa pripravujú na prijímacie pohovory, nadštandardné vzdelávanie formou krúžkovej činnosti.</w:t>
      </w:r>
    </w:p>
    <w:p>
      <w:pPr>
        <w:pStyle w:val="Normal"/>
        <w:numPr>
          <w:ilvl w:val="0"/>
          <w:numId w:val="2"/>
        </w:numPr>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Výkon hospodárskych prác, na ktoré nemáme finančné krytie zabezpečovať v spolupráci s úradom práce, formou absolventskej práce a aktivačného príspevku.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Pre dosiahnutie vytýčených cieľov bola potrebná neustála práca so všetkými zamestnancami školy. Rozvoj školy je možný len s pozitívne motivovanými a vzdelávajúcimi sa zamestnancami, ktorí si uvedomujú svoj podiel zodpovednosti, a ktorí majú delegované primerané kompetencie pre proces riadenia a autoevalvácie. Vo vedení školy boli delegované právomoci zástupcom riaditeľa školy najmä pri prideľovaní osobného ohodnotenia zamestnancov, ale aj pri vybavovaní jednotlivých úsekov školskej agendy (pedagogická, ekonomická, pracovno-právna) a riešení nedostatkov v práci podriadených. Plnenie koncepčného zámeru školy sa nám vďaka pochopeniu zo strany všetkých zamestnancov úspešne podarilo naplniť, za čo patrí vďaka nie len im, ale aj rade rodičov a zriaďovateľovi školy.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 xml:space="preserve">Psychohygienické podmienky výchovy a vzdelávania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Koncepcia ďalšieho rozvoja ZŠ s MŠ Pod Vinbargom 1 v Bardejove vychádza z analýzy súčasného stavu školy Škola má na svoju prevádzku výborné priestorové možnosti a rovnako dobrý pracovný tím. Keďže nemáme bezbariérové priestory, zapojili sme do projektu vyhláseného MŠ SR na výťah pre potreby telesne postihnutých žiakov. Na výučbu slúžia odborné učebne chémie, fyziky, biológie, 3 jazykové učebne, odborná učebňa pre technickú výchovu - dielňa, kuchynka pre žiakov, 2 telocvične s dobre vybavenou posilňovňou, 3 učebne výpočtovej techniky, interaktívne tabule vo všetkých triedach školy. Preto sa ZŠ s MŠ Pod Vinbargom 1 sa teší veľmi dobrej povesti medzi rodičovskou verejnosťou. Napriek demografickému poklesu detí v meste máme vyrovnaný počet žiakov už niekoľko rokov. Sústreďujeme sa na oslovenie verejnosti hlavne z iných obvodov a obcí. Telesne postihnutá žiačka sa vyučuje v bežnej triede spoločne s ostatnými žiakmi, pričom v niektorých predmetoch jej podľa individuálnych potrieb poskytuje odbornú pomoc školský špeciálny pedagóg a asistentka učiteľa. Má vypracovaný individuálny vzdelávací plán, ktorý vypracúva školský špeciálny pedagóg v spolupráci s triednym učiteľom a po prerokovaní s rodičom. Z projektu MŠ „Odstraňovanie stavebných bariér v školách“ sme pre žiačku zabezpečili stoličkový výťah.</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 xml:space="preserve">Oblasti, v ktorých škola dosahuje dobré výsledky </w:t>
      </w:r>
    </w:p>
    <w:p>
      <w:pPr>
        <w:pStyle w:val="Normal"/>
        <w:spacing w:lineRule="auto" w:line="240" w:before="0" w:after="0"/>
        <w:ind w:firstLine="36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Výchovno-vzdelávacie výsledky, ktoré škola dosahuje sú veľmi dobré a trvalo vyrovnané.  Veľmi dobrá je aj úspešnosť našich žiakov pri prijímacom konaní. Tieto výsledky dosahujeme koncepčnou prácou vedenia a metodických orgánov školy, účasť vedenia na zasadnutiach metodických združení a predmetových komisií, otvorené hodiny pre rodičov žiakov. Vedenie školy sleduje vývojovú tendenciu za posledných 10 rokov v matematike a slovenskom jazyku ako aj v správaní žiakov. Nedostatky zistené pri prechode žiakov z I. stupňa na II. stupeň,  učitelia podrobujú javovej analýze a na jej základe prijímajú metodické orgány školy opatrenia na ich odstránenie. Dlhodobo dosahujeme v Celoslovenskom Testovaní 9 dobré výsledky, i keď je vždy možné dosiahnuť vyššie méty. Škola sa pravidelne zapája do rôznych projektov, či na regionálnej úrovni, ale hlavne prostredníctvom Erasmus+.</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Súčasťou školy je aj školský klub detí, ktorý zabezpečuje výchovno-relaxačné vyžitie detí po vyučovaní. O jeho činnosť je medzi rodičmi a deťmi stály záujem, počet detí zaradených do ŠKD stúpajúci trend . Rovnako veľký záujem je aj o stravovanie sa žiakov a zamestnancov školy v školskej jedálni, v ktorej sa stravuje až 85% žiakov a zamestnancov. Toto vysoké číslo je dôkazom spokojnosti s kvalitou podávanej stravy. Naša školská jedáleň poskytuje aj diétnu stravu pre žiakov s diagnostikovanými ochoreniami.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t>Oblasti, v ktorých sú nedostatky a je potrebné úroveň výchovy a vzdelávania zlepšiť</w:t>
      </w:r>
    </w:p>
    <w:p>
      <w:pPr>
        <w:pStyle w:val="Normal"/>
        <w:spacing w:lineRule="auto" w:line="240" w:before="0" w:after="0"/>
        <w:ind w:firstLine="360"/>
        <w:jc w:val="both"/>
        <w:rPr>
          <w:rFonts w:ascii="Times New Roman" w:hAnsi="Times New Roman" w:cs="Times New Roman"/>
          <w:b/>
          <w:b/>
          <w:color w:val="548DD4" w:themeColor="text2" w:themeTint="99"/>
          <w:sz w:val="24"/>
          <w:szCs w:val="24"/>
        </w:rPr>
      </w:pPr>
      <w:r>
        <w:rPr>
          <w:rFonts w:cs="Times New Roman" w:ascii="Times New Roman" w:hAnsi="Times New Roman"/>
          <w:b/>
          <w:color w:val="548DD4" w:themeColor="text2" w:themeTint="99"/>
          <w:sz w:val="24"/>
          <w:szCs w:val="24"/>
        </w:rPr>
      </w:r>
    </w:p>
    <w:p>
      <w:pPr>
        <w:pStyle w:val="Normal"/>
        <w:spacing w:lineRule="auto" w:line="240" w:before="0" w:after="0"/>
        <w:ind w:firstLine="360"/>
        <w:jc w:val="both"/>
        <w:rPr>
          <w:rFonts w:ascii="Times New Roman" w:hAnsi="Times New Roman" w:cs="Times New Roman"/>
          <w:b/>
          <w:b/>
          <w:i/>
          <w:i/>
          <w:sz w:val="24"/>
          <w:szCs w:val="24"/>
        </w:rPr>
      </w:pPr>
      <w:r>
        <w:rPr>
          <w:rFonts w:cs="Times New Roman" w:ascii="Times New Roman" w:hAnsi="Times New Roman"/>
          <w:b/>
          <w:i/>
          <w:sz w:val="24"/>
          <w:szCs w:val="24"/>
        </w:rPr>
        <w:t xml:space="preserve">Swot analýza – sebahodnotenie </w:t>
      </w:r>
    </w:p>
    <w:p>
      <w:pPr>
        <w:pStyle w:val="Normal"/>
        <w:spacing w:lineRule="auto" w:line="240" w:before="0" w:after="0"/>
        <w:ind w:firstLine="36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i/>
          <w:sz w:val="24"/>
          <w:szCs w:val="24"/>
        </w:rPr>
        <w:t>Analýza vnútorného prostredia (SW)</w:t>
      </w:r>
      <w:r>
        <w:rPr>
          <w:rFonts w:cs="Times New Roman" w:ascii="Times New Roman" w:hAnsi="Times New Roman"/>
          <w:sz w:val="24"/>
          <w:szCs w:val="24"/>
        </w:rPr>
        <w:t xml:space="preserve">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Pri analýze vnútorného prostredia sme vychádzali z: pozorovaní, hospitácií na vyučovacích hodinách, rozhovorov (s kolegami, rodičmi, žiakmi), z poznatkov získaných zo zasadnutí pedagogických rád, pracovných porád, rady rodičov, rady školy, zápisníc zo zasadnutí uvedených orgánov a zisťovaní rôznych údajov o škole, vyhodnotení činnosti metodického združenia a predmetových komisií, výchovnej poradkyne, oblastí koordinácie (protidrogová výchova a prevencia šikanovania, environmentálna výchova, dopravná výchova, výchova k ochrane zdravia a prírody, výchova k ľudským právam, koordinátora športovej prípravy, výchova k zdravému životnému štýlu).</w:t>
      </w:r>
    </w:p>
    <w:p>
      <w:pPr>
        <w:pStyle w:val="Normal"/>
        <w:spacing w:lineRule="auto" w:line="240" w:before="0" w:after="0"/>
        <w:ind w:firstLine="360"/>
        <w:jc w:val="both"/>
        <w:rPr>
          <w:rFonts w:ascii="Times New Roman" w:hAnsi="Times New Roman" w:cs="Times New Roman"/>
          <w:sz w:val="24"/>
          <w:szCs w:val="24"/>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b/>
                <w:b/>
                <w:i/>
                <w:i/>
                <w:sz w:val="24"/>
                <w:szCs w:val="24"/>
                <w:lang w:eastAsia="cs-CZ"/>
              </w:rPr>
            </w:pPr>
            <w:r>
              <w:rPr>
                <w:rFonts w:eastAsia="Times New Roman" w:cs="Times New Roman" w:ascii="Times New Roman" w:hAnsi="Times New Roman"/>
                <w:b/>
                <w:i/>
                <w:kern w:val="0"/>
                <w:sz w:val="24"/>
                <w:szCs w:val="24"/>
                <w:lang w:val="sk-SK" w:eastAsia="cs-CZ" w:bidi="ar-SA"/>
              </w:rPr>
              <w:t>SILNÉ  STRÁNKY</w:t>
            </w:r>
          </w:p>
        </w:tc>
      </w:tr>
      <w:tr>
        <w:trPr/>
        <w:tc>
          <w:tcPr>
            <w:tcW w:w="9212" w:type="dxa"/>
            <w:tcBorders/>
          </w:tcPr>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vysoká úroveň kvalifikovanosti vyučujúcich jednotlivých predmetov</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odbornosť pedagogických zamestnancov</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vysoká miera flexibility, organizačných schopností a okamžité riešenie problémov zo strany zástupcov školy</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samostatnosť, usilovnosť a dôslednosť zamestnancov</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pravidelná modernizácia priestorov</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umiestnenie žiakov na olympiádach, umeleckých a športových súťažiach</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veľmi dobrá spolupráca s SCŠPP</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dobrá spolupráca s Mestskou políciou v oblasti výchovy a prevencie protispoločenských javov</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individuálne začlenenie žiakov so ŠVVP</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vyučovanie cudzieho jazyka od 1. ročníka</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spolupráca s materskou školou</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iniciatívne zapájanie sa zamestnancov do ďalšieho vzdelávania</w:t>
            </w:r>
          </w:p>
          <w:p>
            <w:pPr>
              <w:pStyle w:val="ListParagraph"/>
              <w:widowControl/>
              <w:numPr>
                <w:ilvl w:val="0"/>
                <w:numId w:val="9"/>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kvalitná mimoškolská činnosť, lyžiarsky a plavecký výcvik, škola v prírode, športové sústredenia,</w:t>
            </w:r>
          </w:p>
          <w:p>
            <w:pPr>
              <w:pStyle w:val="ListParagraph"/>
              <w:widowControl/>
              <w:spacing w:lineRule="auto" w:line="240" w:before="0" w:after="0"/>
              <w:contextualSpacing/>
              <w:jc w:val="both"/>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letná škola</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odborné učebne (IKT, chémia, fyzika; prírodopis, zemepis, VYV, HUV,ANJ, SJL, RUJ, DEJ)</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každoročné dovybavenie IKT učební</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posilňovne pre žiakov a učiteľov</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herne pre ŠKD;</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zavedenie internetových prípojok do všetkých tried a kabinetov</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sk-SK" w:bidi="ar-SA"/>
              </w:rPr>
              <w:t>zabezpečenie školy zabezpečovacím a kamerovým systémom</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zavádzanie nových metód do vyučovania v niektorých predmetoch</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znižovanie počtu žiakov v triedach</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vysoká účasť žiakov do záujmovej činnosti</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vysoká úspešnosť žiakov v prijímacích pohovoroch na SŠ</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úspešná činnosť žiackeho parlamentu a vydávanie časopisu „Školoviny“</w:t>
            </w:r>
          </w:p>
          <w:p>
            <w:pPr>
              <w:pStyle w:val="Normal"/>
              <w:widowControl/>
              <w:numPr>
                <w:ilvl w:val="0"/>
                <w:numId w:val="9"/>
              </w:numPr>
              <w:suppressAutoHyphens w:val="true"/>
              <w:spacing w:lineRule="auto" w:line="240" w:before="0" w:after="0"/>
              <w:jc w:val="left"/>
              <w:rPr>
                <w:lang w:eastAsia="ar-SA"/>
              </w:rPr>
            </w:pPr>
            <w:r>
              <w:rPr>
                <w:rFonts w:eastAsia="Times New Roman" w:cs="Times New Roman" w:ascii="Times New Roman" w:hAnsi="Times New Roman"/>
                <w:kern w:val="0"/>
                <w:sz w:val="20"/>
                <w:szCs w:val="20"/>
                <w:lang w:val="sk-SK" w:eastAsia="ar-SA" w:bidi="ar-SA"/>
              </w:rPr>
              <w:t>zavedenie 2. cudzieho jazyka od 5. ročníka</w:t>
            </w:r>
          </w:p>
          <w:p>
            <w:pPr>
              <w:pStyle w:val="Normal"/>
              <w:widowControl/>
              <w:numPr>
                <w:ilvl w:val="0"/>
                <w:numId w:val="9"/>
              </w:numPr>
              <w:suppressAutoHyphens w:val="true"/>
              <w:spacing w:lineRule="auto" w:line="240" w:before="0" w:after="0"/>
              <w:jc w:val="left"/>
              <w:rPr>
                <w:lang w:eastAsia="ar-SA"/>
              </w:rPr>
            </w:pPr>
            <w:r>
              <w:rPr>
                <w:rFonts w:eastAsia="Times New Roman" w:cs="Times New Roman" w:ascii="Times New Roman" w:hAnsi="Times New Roman"/>
                <w:kern w:val="0"/>
                <w:sz w:val="20"/>
                <w:szCs w:val="20"/>
                <w:lang w:val="sk-SK" w:eastAsia="ar-SA" w:bidi="ar-SA"/>
              </w:rPr>
              <w:t>pútava záujmová činnosť krúžkov</w:t>
            </w:r>
          </w:p>
          <w:p>
            <w:pPr>
              <w:pStyle w:val="Normal"/>
              <w:widowControl/>
              <w:numPr>
                <w:ilvl w:val="0"/>
                <w:numId w:val="9"/>
              </w:numPr>
              <w:suppressAutoHyphens w:val="true"/>
              <w:spacing w:lineRule="auto" w:line="240" w:before="0" w:after="0"/>
              <w:jc w:val="left"/>
              <w:rPr>
                <w:lang w:eastAsia="ar-SA"/>
              </w:rPr>
            </w:pPr>
            <w:r>
              <w:rPr>
                <w:rFonts w:eastAsia="Times New Roman" w:cs="Times New Roman" w:ascii="Times New Roman" w:hAnsi="Times New Roman"/>
                <w:kern w:val="0"/>
                <w:sz w:val="20"/>
                <w:szCs w:val="20"/>
                <w:lang w:val="sk-SK" w:eastAsia="ar-SA" w:bidi="ar-SA"/>
              </w:rPr>
              <w:t>práca s nadanými žiakmi na šport – v hodnotení práce a športových výsledkov</w:t>
            </w:r>
            <w:r>
              <w:rPr>
                <w:rFonts w:eastAsia="Times New Roman" w:cs="Times New Roman" w:ascii="Times New Roman" w:hAnsi="Times New Roman"/>
                <w:kern w:val="0"/>
                <w:sz w:val="20"/>
                <w:szCs w:val="20"/>
                <w:lang w:val="sk-SK" w:eastAsia="sk-SK" w:bidi="ar-SA"/>
              </w:rPr>
              <w:t xml:space="preserve"> tried škola dosahuje veľmi dobré výsledky</w:t>
            </w:r>
          </w:p>
          <w:p>
            <w:pPr>
              <w:pStyle w:val="Normal"/>
              <w:widowControl/>
              <w:numPr>
                <w:ilvl w:val="0"/>
                <w:numId w:val="9"/>
              </w:numPr>
              <w:suppressAutoHyphens w:val="true"/>
              <w:spacing w:lineRule="auto" w:line="240" w:before="0" w:after="0"/>
              <w:contextualSpacing/>
              <w:jc w:val="both"/>
              <w:rPr>
                <w:lang w:eastAsia="ar-SA"/>
              </w:rPr>
            </w:pPr>
            <w:r>
              <w:rPr>
                <w:rFonts w:eastAsia="Times New Roman" w:cs="Times New Roman" w:ascii="Times New Roman" w:hAnsi="Times New Roman"/>
                <w:kern w:val="0"/>
                <w:sz w:val="20"/>
                <w:szCs w:val="20"/>
                <w:lang w:val="sk-SK" w:eastAsia="sk-SK" w:bidi="ar-SA"/>
              </w:rPr>
              <w:t>projekty na podporu inkluzívneho vzdelávania, starostlivosť o žiakov so špeciálno výchovno – vzdelávacími potrebami</w:t>
            </w:r>
          </w:p>
          <w:p>
            <w:pPr>
              <w:pStyle w:val="Normal"/>
              <w:widowControl/>
              <w:numPr>
                <w:ilvl w:val="0"/>
                <w:numId w:val="9"/>
              </w:numPr>
              <w:suppressAutoHyphens w:val="true"/>
              <w:spacing w:lineRule="auto" w:line="240" w:before="0" w:after="0"/>
              <w:contextualSpacing/>
              <w:jc w:val="both"/>
              <w:rPr>
                <w:lang w:eastAsia="ar-SA"/>
              </w:rPr>
            </w:pPr>
            <w:r>
              <w:rPr>
                <w:rFonts w:eastAsia="Times New Roman" w:cs="Times New Roman" w:ascii="Times New Roman" w:hAnsi="Times New Roman"/>
                <w:kern w:val="0"/>
                <w:sz w:val="20"/>
                <w:szCs w:val="20"/>
                <w:lang w:val="sk-SK" w:eastAsia="sk-SK" w:bidi="ar-SA"/>
              </w:rPr>
              <w:t>oblasť modernizácie vyučovania a inovatívne prístupy vo vyučovaní – využívanie IKT vo vzdelávaní žiakov, vzdelávanie v tematickom prostredí, projektové vyučovanie, tvorivé dielne, zážitkové učenie, kooperatívne učenie</w:t>
            </w:r>
          </w:p>
          <w:p>
            <w:pPr>
              <w:pStyle w:val="Normal"/>
              <w:widowControl/>
              <w:numPr>
                <w:ilvl w:val="0"/>
                <w:numId w:val="9"/>
              </w:numPr>
              <w:suppressAutoHyphens w:val="true"/>
              <w:spacing w:lineRule="auto" w:line="240" w:before="0" w:after="0"/>
              <w:contextualSpacing/>
              <w:jc w:val="both"/>
              <w:rPr>
                <w:lang w:eastAsia="ar-SA"/>
              </w:rPr>
            </w:pPr>
            <w:r>
              <w:rPr>
                <w:rFonts w:eastAsia="Times New Roman" w:cs="Times New Roman" w:ascii="Times New Roman" w:hAnsi="Times New Roman"/>
                <w:kern w:val="0"/>
                <w:sz w:val="20"/>
                <w:szCs w:val="20"/>
                <w:lang w:val="sk-SK" w:eastAsia="sk-SK" w:bidi="ar-SA"/>
              </w:rPr>
              <w:t>kvalitný ŠkVP</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výhodná poloha ZŠ s MŠ</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uplatňovanie demokratického prístupu v riadení vo výchove a vzdelávaní</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otvorená komunikácia = vytvorená priaznivá sociálna  klíma</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aktívne pracovať v programoch Erasmus+</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zavedenie Tímu pre rozvoj a propagáciu školy</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premyslené plánovanie</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prerozdelenie riadiacich kompetencií</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zapojenie školy do projektov e-Twinning,</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ERASMUS+ „Music is life“;</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Moderné vzdelávanie pre vedomostnú spoločnosť – „Inovatívne pod Vinbargom“;</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w:t>
            </w:r>
            <w:r>
              <w:rPr>
                <w:rFonts w:eastAsia="Arial Unicode MS" w:cs="Times New Roman" w:ascii="Times New Roman" w:hAnsi="Times New Roman"/>
                <w:bCs/>
                <w:kern w:val="0"/>
                <w:sz w:val="20"/>
                <w:szCs w:val="20"/>
                <w:lang w:val="sk-SK" w:eastAsia="cs-CZ" w:bidi="ar-SA"/>
              </w:rPr>
              <w:t>Môj svet v školskej knižnici“;</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Šport pre všetkých, Oddychová zóna;</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R.E.A.D. – Reading Eliminates All Difficulties (Čítanie predchádza ťažkostiam);</w:t>
            </w:r>
          </w:p>
          <w:p>
            <w:pPr>
              <w:pStyle w:val="Normal"/>
              <w:keepNext w:val="true"/>
              <w:widowControl/>
              <w:numPr>
                <w:ilvl w:val="0"/>
                <w:numId w:val="9"/>
              </w:numPr>
              <w:spacing w:lineRule="auto" w:line="240" w:before="0" w:after="0"/>
              <w:contextualSpacing/>
              <w:jc w:val="left"/>
              <w:outlineLvl w:val="0"/>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All – Inclusive Children´s Rights Initiative (Iniciatíva za práva všetkých detí), projekt vyhlásený a podporovaný prostredníctvom Erasmus+;</w:t>
            </w:r>
          </w:p>
          <w:p>
            <w:pPr>
              <w:pStyle w:val="Normal"/>
              <w:keepNext w:val="true"/>
              <w:widowControl/>
              <w:numPr>
                <w:ilvl w:val="0"/>
                <w:numId w:val="9"/>
              </w:numPr>
              <w:spacing w:lineRule="auto" w:line="240" w:before="0" w:after="0"/>
              <w:contextualSpacing/>
              <w:jc w:val="left"/>
              <w:outlineLvl w:val="0"/>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Empathy – a way to the human being;</w:t>
            </w:r>
          </w:p>
          <w:p>
            <w:pPr>
              <w:pStyle w:val="Normal"/>
              <w:keepNext w:val="true"/>
              <w:widowControl/>
              <w:numPr>
                <w:ilvl w:val="0"/>
                <w:numId w:val="9"/>
              </w:numPr>
              <w:spacing w:lineRule="auto" w:line="240" w:before="0" w:after="0"/>
              <w:contextualSpacing/>
              <w:jc w:val="left"/>
              <w:outlineLvl w:val="0"/>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City in photo - projekt vyhlásený a podporovaný prostredníctvom Erasmus+;</w:t>
            </w:r>
          </w:p>
          <w:p>
            <w:pPr>
              <w:pStyle w:val="Normal"/>
              <w:keepNext w:val="true"/>
              <w:widowControl/>
              <w:numPr>
                <w:ilvl w:val="0"/>
                <w:numId w:val="9"/>
              </w:numPr>
              <w:spacing w:lineRule="auto" w:line="240" w:before="0" w:after="0"/>
              <w:contextualSpacing/>
              <w:jc w:val="left"/>
              <w:outlineLvl w:val="0"/>
              <w:rPr>
                <w:rFonts w:ascii="Times New Roman" w:hAnsi="Times New Roman" w:eastAsia="Times New Roman" w:cs="Times New Roman"/>
                <w:kern w:val="0"/>
                <w:sz w:val="20"/>
                <w:szCs w:val="20"/>
                <w:lang w:val="sk-SK" w:eastAsia="sk-SK" w:bidi="ar-SA"/>
              </w:rPr>
            </w:pPr>
            <w:r>
              <w:rPr>
                <w:rFonts w:eastAsia="Times New Roman" w:cs="Times New Roman" w:ascii="Times New Roman" w:hAnsi="Times New Roman"/>
                <w:kern w:val="0"/>
                <w:sz w:val="20"/>
                <w:szCs w:val="20"/>
                <w:lang w:val="sk-SK" w:eastAsia="sk-SK" w:bidi="ar-SA"/>
              </w:rPr>
              <w:t>Digitálne kompetencie &amp; čitateľské zručnosti - projekt vyhlásený a podporovaný prostredníctvom Erasmus+;</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cs="Times New Roman" w:ascii="Times New Roman" w:hAnsi="Times New Roman"/>
                <w:kern w:val="0"/>
                <w:sz w:val="20"/>
                <w:szCs w:val="20"/>
                <w:lang w:val="sk-SK" w:eastAsia="sk-SK" w:bidi="ar-SA"/>
              </w:rPr>
              <w:t>Projekty prostredníctvom KNB;</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práca na rôznych školských projektoch;</w:t>
            </w:r>
          </w:p>
          <w:p>
            <w:pPr>
              <w:pStyle w:val="Normal"/>
              <w:keepNext w:val="true"/>
              <w:widowControl/>
              <w:numPr>
                <w:ilvl w:val="0"/>
                <w:numId w:val="9"/>
              </w:numPr>
              <w:spacing w:lineRule="auto" w:line="240" w:before="0" w:after="0"/>
              <w:contextualSpacing/>
              <w:jc w:val="left"/>
              <w:outlineLvl w:val="0"/>
              <w:rPr>
                <w:rFonts w:eastAsia="Arial Unicode MS"/>
                <w:bCs/>
                <w:lang w:eastAsia="cs-CZ"/>
              </w:rPr>
            </w:pPr>
            <w:r>
              <w:rPr>
                <w:rFonts w:eastAsia="Arial Unicode MS" w:cs="Times New Roman" w:ascii="Times New Roman" w:hAnsi="Times New Roman"/>
                <w:bCs/>
                <w:kern w:val="0"/>
                <w:sz w:val="20"/>
                <w:szCs w:val="20"/>
                <w:lang w:val="sk-SK" w:eastAsia="cs-CZ" w:bidi="ar-SA"/>
              </w:rPr>
              <w:t>veľmi aktívna práca žiackeho parlamentu ako partnera v školy pri realizácii celoškolských projektov;</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ochota zamestnancov k digitalizácii práce;</w:t>
            </w:r>
          </w:p>
          <w:p>
            <w:pPr>
              <w:pStyle w:val="Normal"/>
              <w:widowControl/>
              <w:numPr>
                <w:ilvl w:val="0"/>
                <w:numId w:val="9"/>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vhodná veková rôznorodosť pedagogického zboru;</w:t>
            </w:r>
          </w:p>
          <w:p>
            <w:pPr>
              <w:pStyle w:val="Normal"/>
              <w:widowControl/>
              <w:numPr>
                <w:ilvl w:val="0"/>
                <w:numId w:val="9"/>
              </w:numPr>
              <w:suppressAutoHyphens w:val="true"/>
              <w:spacing w:lineRule="auto" w:line="240" w:before="0" w:after="0"/>
              <w:jc w:val="left"/>
              <w:rPr>
                <w:lang w:eastAsia="ar-SA"/>
              </w:rPr>
            </w:pPr>
            <w:r>
              <w:rPr>
                <w:rFonts w:eastAsia="Times New Roman" w:cs="Times New Roman" w:ascii="Times New Roman" w:hAnsi="Times New Roman"/>
                <w:kern w:val="0"/>
                <w:sz w:val="20"/>
                <w:szCs w:val="20"/>
                <w:lang w:val="sk-SK" w:eastAsia="ar-SA" w:bidi="ar-SA"/>
              </w:rPr>
              <w:t>spolupráca s </w:t>
            </w:r>
            <w:r>
              <w:rPr>
                <w:rFonts w:eastAsia="Times New Roman" w:cs="Times New Roman" w:ascii="Times New Roman" w:hAnsi="Times New Roman"/>
                <w:b/>
                <w:kern w:val="0"/>
                <w:sz w:val="20"/>
                <w:szCs w:val="20"/>
                <w:lang w:val="sk-SK" w:eastAsia="ar-SA" w:bidi="ar-SA"/>
              </w:rPr>
              <w:t xml:space="preserve"> OZ Lastovička;</w:t>
            </w:r>
          </w:p>
          <w:p>
            <w:pPr>
              <w:pStyle w:val="Normal"/>
              <w:widowControl/>
              <w:numPr>
                <w:ilvl w:val="0"/>
                <w:numId w:val="9"/>
              </w:numPr>
              <w:suppressAutoHyphens w:val="true"/>
              <w:spacing w:lineRule="auto" w:line="240" w:before="0" w:after="0"/>
              <w:jc w:val="left"/>
              <w:rPr>
                <w:lang w:eastAsia="ar-SA"/>
              </w:rPr>
            </w:pPr>
            <w:r>
              <w:rPr>
                <w:rFonts w:eastAsia="Times New Roman" w:cs="Times New Roman" w:ascii="Times New Roman" w:hAnsi="Times New Roman"/>
                <w:kern w:val="0"/>
                <w:sz w:val="20"/>
                <w:szCs w:val="20"/>
                <w:lang w:val="sk-SK" w:eastAsia="ar-SA" w:bidi="ar-SA"/>
              </w:rPr>
              <w:t>starostlivosť o kvetinovú výzdobu v interiéri a exteriéri;</w:t>
            </w:r>
          </w:p>
          <w:p>
            <w:pPr>
              <w:pStyle w:val="Normal"/>
              <w:widowControl/>
              <w:numPr>
                <w:ilvl w:val="0"/>
                <w:numId w:val="9"/>
              </w:numPr>
              <w:spacing w:lineRule="auto" w:line="240" w:before="0" w:after="0"/>
              <w:jc w:val="left"/>
              <w:rPr>
                <w:sz w:val="24"/>
                <w:szCs w:val="24"/>
                <w:lang w:eastAsia="cs-CZ"/>
              </w:rPr>
            </w:pPr>
            <w:r>
              <w:rPr>
                <w:rFonts w:eastAsia="Times New Roman" w:cs="Times New Roman" w:ascii="Times New Roman" w:hAnsi="Times New Roman"/>
                <w:kern w:val="0"/>
                <w:sz w:val="20"/>
                <w:szCs w:val="20"/>
                <w:lang w:val="sk-SK" w:eastAsia="ar-SA" w:bidi="ar-SA"/>
              </w:rPr>
              <w:t>svojpomocná úprava exteriéru;</w:t>
            </w:r>
          </w:p>
        </w:tc>
      </w:tr>
    </w:tbl>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b/>
                <w:b/>
                <w:i/>
                <w:i/>
                <w:sz w:val="24"/>
                <w:szCs w:val="24"/>
                <w:lang w:eastAsia="cs-CZ"/>
              </w:rPr>
            </w:pPr>
            <w:r>
              <w:rPr>
                <w:rFonts w:eastAsia="Times New Roman" w:cs="Times New Roman" w:ascii="Times New Roman" w:hAnsi="Times New Roman"/>
                <w:b/>
                <w:i/>
                <w:kern w:val="0"/>
                <w:sz w:val="24"/>
                <w:szCs w:val="24"/>
                <w:lang w:val="sk-SK" w:eastAsia="cs-CZ" w:bidi="ar-SA"/>
              </w:rPr>
              <w:t>SLABÉ  STRÁNKY</w:t>
            </w:r>
          </w:p>
        </w:tc>
      </w:tr>
      <w:tr>
        <w:trPr/>
        <w:tc>
          <w:tcPr>
            <w:tcW w:w="9212" w:type="dxa"/>
            <w:tcBorders/>
          </w:tcPr>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nedostatočná spolupráca s rodičmi niektorých žiakov pri riešení výchovných problémov ich detí (správanie, priestupky, šikanovanie ...)</w:t>
            </w:r>
          </w:p>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havarijné situácie strešnej krytiny, rozvodov vody vybavenie existujúcich odborných učební</w:t>
            </w:r>
          </w:p>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chýbajúce triedy pre ŠKD</w:t>
            </w:r>
          </w:p>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nedostatok priestoru pre nové triedy</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chýba jazykové  laboratórium</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chýbajúci atletický tartanový ovál</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chýba spojovacia chodba do telocvične z hlavnej budovy</w:t>
            </w:r>
          </w:p>
          <w:p>
            <w:pPr>
              <w:pStyle w:val="Normal"/>
              <w:widowControl/>
              <w:numPr>
                <w:ilvl w:val="0"/>
                <w:numId w:val="11"/>
              </w:numPr>
              <w:suppressAutoHyphens w:val="true"/>
              <w:spacing w:lineRule="auto" w:line="240" w:before="0" w:after="0"/>
              <w:jc w:val="left"/>
              <w:rPr>
                <w:color w:val="00B050"/>
              </w:rPr>
            </w:pPr>
            <w:r>
              <w:rPr>
                <w:rFonts w:eastAsia="Times New Roman" w:cs="Times New Roman" w:ascii="Times New Roman" w:hAnsi="Times New Roman"/>
                <w:kern w:val="0"/>
                <w:sz w:val="20"/>
                <w:szCs w:val="20"/>
                <w:lang w:val="sk-SK" w:eastAsia="sk-SK" w:bidi="ar-SA"/>
              </w:rPr>
              <w:t>oprava omietok na fasáde DD</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sk-SK" w:bidi="ar-SA"/>
              </w:rPr>
              <w:t>zatekajúca strecha na DD a výmena starých okien</w:t>
            </w:r>
          </w:p>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zatekajúca strecha nad medzipriestorom telocvične</w:t>
            </w:r>
          </w:p>
          <w:p>
            <w:pPr>
              <w:pStyle w:val="ListParagraph"/>
              <w:widowControl/>
              <w:numPr>
                <w:ilvl w:val="0"/>
                <w:numId w:val="11"/>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vykurovanie celej budovy aj v čase školských prázdnin z dôvodu umiestnenia tried MŠ v budove – nie sú prispôsobené rozvody</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nedostatočné cudzojazyčné schopnosti pedagógov, ktorí nevyučujú cudzí jazyk</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nedostatočný objem finančných prostriedkov na diferencovanú motiváciu zamestnancov</w:t>
            </w:r>
          </w:p>
          <w:p>
            <w:pPr>
              <w:pStyle w:val="Normal"/>
              <w:widowControl/>
              <w:numPr>
                <w:ilvl w:val="0"/>
                <w:numId w:val="11"/>
              </w:numPr>
              <w:spacing w:lineRule="auto" w:line="240" w:before="0" w:after="0"/>
              <w:jc w:val="left"/>
              <w:rPr>
                <w:lang w:eastAsia="cs-CZ"/>
              </w:rPr>
            </w:pPr>
            <w:r>
              <w:rPr>
                <w:rFonts w:eastAsia="Times New Roman" w:cs="Times New Roman" w:ascii="Times New Roman" w:hAnsi="Times New Roman"/>
                <w:kern w:val="0"/>
                <w:sz w:val="20"/>
                <w:szCs w:val="20"/>
                <w:lang w:val="sk-SK" w:eastAsia="cs-CZ" w:bidi="ar-SA"/>
              </w:rPr>
              <w:t>nedostatočný objem finančných prostriedkov na údržbu a nevyhnutné opravy</w:t>
            </w:r>
          </w:p>
          <w:p>
            <w:pPr>
              <w:pStyle w:val="Normal"/>
              <w:widowControl/>
              <w:numPr>
                <w:ilvl w:val="0"/>
                <w:numId w:val="11"/>
              </w:numPr>
              <w:spacing w:lineRule="auto" w:line="240" w:before="0" w:after="0"/>
              <w:jc w:val="left"/>
              <w:rPr>
                <w:sz w:val="24"/>
                <w:szCs w:val="24"/>
                <w:lang w:eastAsia="cs-CZ"/>
              </w:rPr>
            </w:pPr>
            <w:r>
              <w:rPr>
                <w:rFonts w:eastAsia="Times New Roman" w:cs="Times New Roman" w:ascii="Times New Roman" w:hAnsi="Times New Roman"/>
                <w:kern w:val="0"/>
                <w:sz w:val="20"/>
                <w:szCs w:val="20"/>
                <w:lang w:val="sk-SK" w:eastAsia="sk-SK" w:bidi="ar-SA"/>
              </w:rPr>
              <w:t>oblasť čitateľskej gramotnosti - čitateľská gramotnosť žiakov nie je optimálnej úrovni</w:t>
            </w:r>
          </w:p>
        </w:tc>
      </w:tr>
    </w:tbl>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b/>
                <w:b/>
                <w:i/>
                <w:i/>
                <w:sz w:val="24"/>
                <w:szCs w:val="24"/>
                <w:lang w:eastAsia="cs-CZ"/>
              </w:rPr>
            </w:pPr>
            <w:r>
              <w:rPr>
                <w:rFonts w:eastAsia="Times New Roman" w:cs="Times New Roman" w:ascii="Times New Roman" w:hAnsi="Times New Roman"/>
                <w:b/>
                <w:i/>
                <w:kern w:val="0"/>
                <w:sz w:val="24"/>
                <w:szCs w:val="24"/>
                <w:lang w:val="sk-SK" w:eastAsia="cs-CZ" w:bidi="ar-SA"/>
              </w:rPr>
              <w:t>PRÍLEŽITOSTI</w:t>
            </w:r>
          </w:p>
        </w:tc>
      </w:tr>
      <w:tr>
        <w:trPr/>
        <w:tc>
          <w:tcPr>
            <w:tcW w:w="9212" w:type="dxa"/>
            <w:tcBorders/>
          </w:tcPr>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rozvoj inovácií v systematickej aplikácií prvkov vysoko-efektívneho učenia</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účasť na viacerých vzdelávacích aktivitách v inováciách</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vytvorenie užšieho a spolupracujúcejšieho vzťahu so zriaďovateľom</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naďalej sa zapájať do grantových výziev, EÚ projektov</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prispôsobiť vzdelávanie novým trendom</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poskytovať žiakom veľa aktivít a činností, kde môžu spojiť teóriu s praxou</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organizovanie výletov, exkurzií, kultúrnych a spoločenských podujatí</w:t>
            </w:r>
          </w:p>
          <w:p>
            <w:pPr>
              <w:pStyle w:val="ListParagraph"/>
              <w:widowControl/>
              <w:numPr>
                <w:ilvl w:val="0"/>
                <w:numId w:val="12"/>
              </w:numPr>
              <w:spacing w:lineRule="auto" w:line="240" w:before="0" w:after="0"/>
              <w:contextualSpacing/>
              <w:jc w:val="both"/>
              <w:rPr>
                <w:lang w:eastAsia="cs-CZ"/>
              </w:rPr>
            </w:pPr>
            <w:r>
              <w:rPr>
                <w:rFonts w:eastAsia="Arial Unicode MS" w:cs="Times New Roman" w:ascii="Times New Roman" w:hAnsi="Times New Roman"/>
                <w:bCs/>
                <w:kern w:val="0"/>
                <w:sz w:val="20"/>
                <w:szCs w:val="20"/>
                <w:lang w:val="sk-SK" w:eastAsia="cs-CZ" w:bidi="ar-SA"/>
              </w:rPr>
              <w:t>získavanie 2% z daní pre OZ</w:t>
            </w:r>
          </w:p>
        </w:tc>
      </w:tr>
    </w:tbl>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b/>
                <w:b/>
                <w:i/>
                <w:i/>
                <w:sz w:val="24"/>
                <w:szCs w:val="24"/>
                <w:lang w:eastAsia="cs-CZ"/>
              </w:rPr>
            </w:pPr>
            <w:r>
              <w:rPr>
                <w:rFonts w:eastAsia="Times New Roman" w:cs="Times New Roman" w:ascii="Times New Roman" w:hAnsi="Times New Roman"/>
                <w:b/>
                <w:i/>
                <w:kern w:val="0"/>
                <w:sz w:val="24"/>
                <w:szCs w:val="24"/>
                <w:lang w:val="sk-SK" w:eastAsia="cs-CZ" w:bidi="ar-SA"/>
              </w:rPr>
              <w:t>RIZIKÁ</w:t>
            </w:r>
          </w:p>
        </w:tc>
      </w:tr>
      <w:tr>
        <w:trPr/>
        <w:tc>
          <w:tcPr>
            <w:tcW w:w="9212" w:type="dxa"/>
            <w:tcBorders/>
          </w:tcPr>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spoločenské postavenie pedagóga</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pribúdanie začlenených žiakov</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nedostatok odborných zamestnancov</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sústavné zmeny v školskom systéme</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zavádzanie špecifických predmetov pre začlenených žiakov</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veľká administratívna záťaž</w:t>
            </w:r>
          </w:p>
          <w:p>
            <w:pPr>
              <w:pStyle w:val="ListParagraph"/>
              <w:widowControl/>
              <w:numPr>
                <w:ilvl w:val="0"/>
                <w:numId w:val="12"/>
              </w:numPr>
              <w:spacing w:lineRule="auto" w:line="240" w:before="0" w:after="0"/>
              <w:contextualSpacing/>
              <w:jc w:val="both"/>
              <w:rPr>
                <w:sz w:val="24"/>
                <w:szCs w:val="24"/>
                <w:lang w:eastAsia="cs-CZ"/>
              </w:rPr>
            </w:pPr>
            <w:r>
              <w:rPr>
                <w:rFonts w:eastAsia="Times New Roman" w:cs="Times New Roman" w:ascii="Times New Roman" w:hAnsi="Times New Roman"/>
                <w:kern w:val="0"/>
                <w:sz w:val="20"/>
                <w:szCs w:val="20"/>
                <w:lang w:val="sk-SK" w:eastAsia="sk-SK" w:bidi="ar-SA"/>
              </w:rPr>
              <w:t>neustále sa meniace legislatívne predpisy</w:t>
            </w:r>
          </w:p>
        </w:tc>
      </w:tr>
    </w:tbl>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i/>
                <w:i/>
                <w:sz w:val="24"/>
                <w:szCs w:val="24"/>
                <w:lang w:eastAsia="cs-CZ"/>
              </w:rPr>
            </w:pPr>
            <w:r>
              <w:rPr>
                <w:rFonts w:eastAsia="Times New Roman" w:cs="Times New Roman" w:ascii="Times New Roman" w:hAnsi="Times New Roman"/>
                <w:b/>
                <w:i/>
                <w:kern w:val="0"/>
                <w:sz w:val="24"/>
                <w:szCs w:val="24"/>
                <w:lang w:val="sk-SK" w:eastAsia="sk-SK" w:bidi="ar-SA"/>
              </w:rPr>
              <w:t>Oblasti, v ktorých škola dosahuje dobré výsledky</w:t>
            </w:r>
          </w:p>
        </w:tc>
      </w:tr>
      <w:tr>
        <w:trPr/>
        <w:tc>
          <w:tcPr>
            <w:tcW w:w="9212" w:type="dxa"/>
            <w:tcBorders/>
          </w:tcPr>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kvalitný výchovno-vzdelávací proces</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využívanie IKT vo vyučovacom procese</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výsledky žiakov vo vedomostných súťažiach a olympiádach</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zapájanie sa do projektov a úspešnosť v nich</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zapájanie sa do projektov KNB;</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aktívna práca v projektoch Erasmus+</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zapájanie sa do výziev MŠVVaŠ SR</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osobná účasť učiteľov na tvorbe a implementácii projektov</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zavádzanie inovácii vo vyučovacom procese</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ďalšie vzdelávanie pedagógov</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organizovanie exkurzií pre žiakov</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zapájanie sa športových súťaží;</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pravidelné dovybavenie kabinetov novými učebnými pomôckami</w:t>
            </w:r>
          </w:p>
          <w:p>
            <w:pPr>
              <w:pStyle w:val="Normal"/>
              <w:widowControl/>
              <w:numPr>
                <w:ilvl w:val="0"/>
                <w:numId w:val="7"/>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spolupráca s partnerskými školami v rámci projektov Erasmus+</w:t>
            </w:r>
          </w:p>
          <w:p>
            <w:pPr>
              <w:pStyle w:val="Normal"/>
              <w:widowControl/>
              <w:spacing w:lineRule="auto" w:line="240" w:before="0" w:after="0"/>
              <w:jc w:val="both"/>
              <w:rPr>
                <w:b/>
                <w:b/>
                <w:color w:val="548DD4" w:themeColor="text2" w:themeTint="99"/>
              </w:rPr>
            </w:pPr>
            <w:r>
              <w:rPr>
                <w:rFonts w:eastAsia="Times New Roman" w:cs="Times New Roman" w:ascii="Times New Roman" w:hAnsi="Times New Roman"/>
                <w:b/>
                <w:color w:val="548DD4" w:themeColor="text2" w:themeTint="99"/>
                <w:kern w:val="0"/>
                <w:sz w:val="20"/>
                <w:szCs w:val="20"/>
                <w:lang w:val="sk-SK" w:eastAsia="sk-SK" w:bidi="ar-SA"/>
              </w:rPr>
            </w:r>
          </w:p>
        </w:tc>
      </w:tr>
    </w:tbl>
    <w:p>
      <w:pPr>
        <w:pStyle w:val="Normal"/>
        <w:spacing w:lineRule="auto" w:line="240" w:before="0" w:after="0"/>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both"/>
              <w:rPr>
                <w:color w:val="4F81BD" w:themeColor="accent1"/>
              </w:rPr>
            </w:pPr>
            <w:r>
              <w:rPr>
                <w:rFonts w:eastAsia="Times New Roman" w:cs="Times New Roman" w:ascii="Times New Roman" w:hAnsi="Times New Roman"/>
                <w:b/>
                <w:kern w:val="0"/>
                <w:sz w:val="20"/>
                <w:szCs w:val="20"/>
                <w:lang w:val="sk-SK" w:eastAsia="sk-SK" w:bidi="ar-SA"/>
              </w:rPr>
              <w:t>Oblasti, v ktorých sú nedostatky a je potrebné úroveň výchovy a vzdelávania zlepšiť</w:t>
            </w:r>
          </w:p>
        </w:tc>
      </w:tr>
      <w:tr>
        <w:trPr/>
        <w:tc>
          <w:tcPr>
            <w:tcW w:w="9212" w:type="dxa"/>
            <w:tcBorders/>
          </w:tcPr>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zvýšenú pozornosť venovať komunikácii so žiakmi a rodičmi v oblasti dochádzky do školy</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pokračovať vo formovaní zdravého životného štýlu žiakov s cieľom znížiť ich chorobnosť a zvýšiť ich zodpovednosť za dochádzku do školy</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pokračovať vo využívaní rôznych foriem a metód práce s cieľom zlepšenia čitateľskej gramotnosti žiakov</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zvýšenú pozornosť naďalej venovať motivácii žiakov k zodpovednej príprave na Testovanie 9</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komunikácie s niektorými rodičmi, individuálne pristupovať k žiakom so špeciálnymi výchovnovzdelávacími potrebami (k žiakom zo SZP, k individuálne začleneným žiakom)</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pravidelne vykonávať písomné previerky zo slovenského jazyka a literatúra a z matematiky na úrovni vedenia školy i na úrovni predmetových komisií</w:t>
            </w:r>
          </w:p>
          <w:p>
            <w:pPr>
              <w:pStyle w:val="Normal"/>
              <w:widowControl/>
              <w:numPr>
                <w:ilvl w:val="0"/>
                <w:numId w:val="8"/>
              </w:numPr>
              <w:spacing w:lineRule="auto" w:line="240" w:before="0" w:after="0"/>
              <w:contextualSpacing/>
              <w:jc w:val="both"/>
              <w:rPr>
                <w:lang w:eastAsia="cs-CZ"/>
              </w:rPr>
            </w:pPr>
            <w:r>
              <w:rPr>
                <w:rFonts w:eastAsia="Times New Roman" w:cs="Times New Roman" w:ascii="Times New Roman" w:hAnsi="Times New Roman"/>
                <w:kern w:val="0"/>
                <w:sz w:val="20"/>
                <w:szCs w:val="20"/>
                <w:lang w:val="sk-SK" w:eastAsia="sk-SK" w:bidi="ar-SA"/>
              </w:rPr>
              <w:t>ponukou Školského vzdelávacieho programu a Výchovného programu ŠKD a mimoškolskou činnosťou získať žiakov z iných školských obvodov a blízkeho okolia mesta</w:t>
            </w:r>
          </w:p>
          <w:p>
            <w:pPr>
              <w:pStyle w:val="Normal"/>
              <w:keepNext w:val="true"/>
              <w:widowControl/>
              <w:numPr>
                <w:ilvl w:val="0"/>
                <w:numId w:val="8"/>
              </w:numPr>
              <w:spacing w:lineRule="auto" w:line="240" w:before="0" w:after="0"/>
              <w:contextualSpacing/>
              <w:jc w:val="both"/>
              <w:outlineLvl w:val="1"/>
              <w:rPr>
                <w:color w:val="4F81BD" w:themeColor="accent1"/>
              </w:rPr>
            </w:pPr>
            <w:r>
              <w:rPr>
                <w:rFonts w:eastAsia="Times New Roman" w:cs="Times New Roman" w:ascii="Times New Roman" w:hAnsi="Times New Roman"/>
                <w:kern w:val="0"/>
                <w:sz w:val="20"/>
                <w:szCs w:val="20"/>
                <w:lang w:val="sk-SK" w:eastAsia="sk-SK" w:bidi="ar-SA"/>
              </w:rPr>
              <w:t>postupnými získaným grantom z projektu realizovať opravy niektorých časti školy a športového areálu</w:t>
            </w:r>
          </w:p>
        </w:tc>
      </w:tr>
    </w:tbl>
    <w:p>
      <w:pPr>
        <w:pStyle w:val="Normal"/>
        <w:spacing w:lineRule="auto" w:line="240" w:before="0" w:after="0"/>
        <w:jc w:val="both"/>
        <w:rPr>
          <w:rFonts w:ascii="Times New Roman" w:hAnsi="Times New Roman" w:cs="Times New Roman"/>
          <w:color w:val="4F81BD" w:themeColor="accent1"/>
          <w:sz w:val="24"/>
          <w:szCs w:val="24"/>
        </w:rPr>
      </w:pPr>
      <w:r>
        <w:rPr>
          <w:rFonts w:cs="Times New Roman" w:ascii="Times New Roman" w:hAnsi="Times New Roman"/>
          <w:color w:val="4F81BD" w:themeColor="accent1"/>
          <w:sz w:val="24"/>
          <w:szCs w:val="24"/>
        </w:rPr>
      </w:r>
    </w:p>
    <w:p>
      <w:pPr>
        <w:pStyle w:val="Normal"/>
        <w:keepNext w:val="true"/>
        <w:numPr>
          <w:ilvl w:val="0"/>
          <w:numId w:val="0"/>
        </w:numPr>
        <w:spacing w:lineRule="auto" w:line="240" w:before="0" w:after="0"/>
        <w:outlineLvl w:val="1"/>
        <w:rPr>
          <w:rFonts w:ascii="Times New Roman" w:hAnsi="Times New Roman" w:eastAsia="Arial Unicode MS" w:cs="Times New Roman"/>
          <w:b/>
          <w:b/>
          <w:bCs/>
          <w:color w:val="548DD4" w:themeColor="text2" w:themeTint="99"/>
          <w:sz w:val="24"/>
          <w:szCs w:val="24"/>
          <w:lang w:eastAsia="cs-CZ"/>
        </w:rPr>
      </w:pPr>
      <w:r>
        <w:rPr>
          <w:rFonts w:eastAsia="Arial Unicode MS" w:cs="Times New Roman" w:ascii="Times New Roman" w:hAnsi="Times New Roman"/>
          <w:b/>
          <w:bCs/>
          <w:color w:val="548DD4" w:themeColor="text2" w:themeTint="99"/>
          <w:sz w:val="24"/>
          <w:szCs w:val="24"/>
          <w:lang w:eastAsia="cs-CZ"/>
        </w:rPr>
        <w:t>Umiestnenia žiakov v súťažiach v školskom roku  2022/2023</w:t>
      </w:r>
    </w:p>
    <w:p>
      <w:pPr>
        <w:pStyle w:val="Normal"/>
        <w:keepNext w:val="true"/>
        <w:numPr>
          <w:ilvl w:val="0"/>
          <w:numId w:val="0"/>
        </w:numPr>
        <w:spacing w:lineRule="auto" w:line="240" w:before="0" w:after="0"/>
        <w:outlineLvl w:val="1"/>
        <w:rPr>
          <w:rFonts w:ascii="Times New Roman" w:hAnsi="Times New Roman" w:eastAsia="Arial Unicode MS" w:cs="Times New Roman"/>
          <w:b/>
          <w:b/>
          <w:bCs/>
          <w:sz w:val="24"/>
          <w:szCs w:val="24"/>
          <w:lang w:eastAsia="cs-CZ"/>
        </w:rPr>
      </w:pPr>
      <w:r>
        <w:rPr>
          <w:rFonts w:eastAsia="Arial Unicode MS" w:cs="Times New Roman" w:ascii="Times New Roman" w:hAnsi="Times New Roman"/>
          <w:b/>
          <w:bCs/>
          <w:sz w:val="24"/>
          <w:szCs w:val="24"/>
          <w:lang w:eastAsia="cs-CZ"/>
        </w:rPr>
      </w:r>
    </w:p>
    <w:tbl>
      <w:tblPr>
        <w:tblW w:w="93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1347"/>
        <w:gridCol w:w="2573"/>
        <w:gridCol w:w="1097"/>
      </w:tblGrid>
      <w:tr>
        <w:trPr/>
        <w:tc>
          <w:tcPr>
            <w:tcW w:w="4361"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Calibri" w:cs="Times New Roman"/>
                <w:b/>
                <w:b/>
                <w:i/>
                <w:i/>
                <w:color w:val="4F81BD" w:themeColor="accent1"/>
                <w:sz w:val="24"/>
                <w:szCs w:val="24"/>
              </w:rPr>
            </w:pPr>
            <w:r>
              <w:rPr>
                <w:rFonts w:eastAsia="Times New Roman" w:cs="Times New Roman" w:ascii="Times New Roman" w:hAnsi="Times New Roman"/>
                <w:b/>
                <w:i/>
                <w:color w:val="4F81BD" w:themeColor="accent1"/>
                <w:sz w:val="24"/>
                <w:szCs w:val="24"/>
                <w:lang w:eastAsia="cs-CZ"/>
              </w:rPr>
              <w:t>Súťaž</w:t>
            </w:r>
          </w:p>
        </w:tc>
        <w:tc>
          <w:tcPr>
            <w:tcW w:w="134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Calibri" w:cs="Times New Roman"/>
                <w:b/>
                <w:b/>
                <w:i/>
                <w:i/>
                <w:color w:val="4F81BD" w:themeColor="accent1"/>
                <w:sz w:val="20"/>
                <w:szCs w:val="20"/>
              </w:rPr>
            </w:pPr>
            <w:r>
              <w:rPr>
                <w:rFonts w:eastAsia="Times New Roman" w:cs="Times New Roman" w:ascii="Times New Roman" w:hAnsi="Times New Roman"/>
                <w:b/>
                <w:i/>
                <w:color w:val="4F81BD" w:themeColor="accent1"/>
                <w:sz w:val="20"/>
                <w:szCs w:val="20"/>
                <w:lang w:eastAsia="cs-CZ"/>
              </w:rPr>
              <w:t>Umiestnenie</w:t>
            </w:r>
          </w:p>
        </w:tc>
        <w:tc>
          <w:tcPr>
            <w:tcW w:w="2573"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Calibri" w:cs="Times New Roman"/>
                <w:b/>
                <w:b/>
                <w:i/>
                <w:i/>
                <w:color w:val="4F81BD" w:themeColor="accent1"/>
                <w:sz w:val="24"/>
                <w:szCs w:val="24"/>
              </w:rPr>
            </w:pPr>
            <w:r>
              <w:rPr>
                <w:rFonts w:eastAsia="Times New Roman" w:cs="Times New Roman" w:ascii="Times New Roman" w:hAnsi="Times New Roman"/>
                <w:b/>
                <w:i/>
                <w:color w:val="4F81BD" w:themeColor="accent1"/>
                <w:sz w:val="24"/>
                <w:szCs w:val="24"/>
                <w:lang w:eastAsia="cs-CZ"/>
              </w:rPr>
              <w:t>Meno</w:t>
            </w:r>
          </w:p>
        </w:tc>
        <w:tc>
          <w:tcPr>
            <w:tcW w:w="1097"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spacing w:lineRule="auto" w:line="240" w:before="0" w:after="0"/>
              <w:rPr>
                <w:rFonts w:ascii="Times New Roman" w:hAnsi="Times New Roman" w:eastAsia="Calibri" w:cs="Times New Roman"/>
                <w:b/>
                <w:b/>
                <w:i/>
                <w:i/>
                <w:color w:val="4F81BD" w:themeColor="accent1"/>
                <w:sz w:val="24"/>
                <w:szCs w:val="24"/>
              </w:rPr>
            </w:pPr>
            <w:r>
              <w:rPr>
                <w:rFonts w:eastAsia="Times New Roman" w:cs="Times New Roman" w:ascii="Times New Roman" w:hAnsi="Times New Roman"/>
                <w:b/>
                <w:i/>
                <w:color w:val="4F81BD" w:themeColor="accent1"/>
                <w:sz w:val="24"/>
                <w:szCs w:val="24"/>
                <w:lang w:eastAsia="cs-CZ"/>
              </w:rPr>
              <w:t>Trieda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Olympiáda z AJ 1A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Peter Klimek</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Olympiáda z AJ 1B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Natália Vagaská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5.ročník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Richard Jurečko</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5.ročník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Michal Malega</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5.ročník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Michal Skreptáč</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8.ročník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Igor Jančík</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8.ročník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Matúš Brezáni</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8.D</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Pytagoriáda 3.ročník</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Richard Trucka</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9</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Gregor Šverha,</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9</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Bianka Bučková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9</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Richard Marchevský</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9</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Ivana Halžová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9</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Patrik Jonov</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Laura Pinziková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Alexandra Pinziková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Andrea Siváková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Lenka Tvardziková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Lenka Tarnovská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Lukáš Sedlák</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Korešpondenčný seminár z CH 8</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úspešný</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Roman Chovan</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8.D</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Dejepisná  olympiáda F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7.</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Karolína Chomová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6.</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Dejepisná  olympiáda E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1.</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Katarína Mikulová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lang w:eastAsia="cs-CZ"/>
              </w:rPr>
              <w:t>7.B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Dejepisná  olympiáda E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Tamara Semanišínová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Dejepisná  olympiáda D–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Tomáš Paňko</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Dejepisná  olympiáda C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Natália Vagaská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Bio olympiáda E botanika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Katarína Mikulová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Bio olympiáda E botanika – okres</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Ivana Mlynárová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Bio olympiáda E botanika - kraj</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Katarína Mikulová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Bio olympiáda E zoológia okresné kolo</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Peter Klimek</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Bio olympiáda E zoológia okresné kolo</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Boris Hlávka</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7.A</w:t>
            </w:r>
          </w:p>
        </w:tc>
      </w:tr>
      <w:tr>
        <w:trPr>
          <w:trHeight w:val="356" w:hRule="atLeast"/>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Aquathlon okresné kolo</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14"/>
                <w:szCs w:val="14"/>
              </w:rPr>
            </w:pPr>
            <w:r>
              <w:rPr>
                <w:rFonts w:eastAsia="Times New Roman" w:cs="Times New Roman" w:ascii="Times New Roman" w:hAnsi="Times New Roman"/>
                <w:sz w:val="14"/>
                <w:szCs w:val="14"/>
                <w:lang w:eastAsia="cs-CZ"/>
              </w:rPr>
              <w:t>2.3.4.</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14"/>
                <w:szCs w:val="14"/>
              </w:rPr>
            </w:pPr>
            <w:r>
              <w:rPr>
                <w:rFonts w:eastAsia="Times New Roman" w:cs="Times New Roman" w:ascii="Times New Roman" w:hAnsi="Times New Roman"/>
                <w:sz w:val="14"/>
                <w:szCs w:val="14"/>
                <w:lang w:eastAsia="cs-CZ"/>
              </w:rPr>
              <w:t>René Ryzner,Eliška Sendeková,Samuel Sobek</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14"/>
                <w:szCs w:val="14"/>
              </w:rPr>
            </w:pPr>
            <w:r>
              <w:rPr>
                <w:rFonts w:eastAsia="Times New Roman" w:cs="Times New Roman" w:ascii="Times New Roman" w:hAnsi="Times New Roman"/>
                <w:sz w:val="14"/>
                <w:szCs w:val="14"/>
                <w:lang w:eastAsia="cs-CZ"/>
              </w:rPr>
              <w:t>6.C,8.A, 6.C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Basketbal okresné kolo</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14"/>
                <w:szCs w:val="14"/>
              </w:rPr>
            </w:pPr>
            <w:r>
              <w:rPr>
                <w:rFonts w:eastAsia="Times New Roman" w:cs="Times New Roman" w:ascii="Times New Roman" w:hAnsi="Times New Roman"/>
                <w:sz w:val="14"/>
                <w:szCs w:val="14"/>
                <w:lang w:eastAsia="cs-CZ"/>
              </w:rPr>
              <w:t>Mihaľ, Bilý, Adamišin, Filipovič</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14"/>
                <w:szCs w:val="14"/>
              </w:rPr>
            </w:pPr>
            <w:r>
              <w:rPr>
                <w:rFonts w:eastAsia="Times New Roman" w:cs="Times New Roman" w:ascii="Times New Roman" w:hAnsi="Times New Roman"/>
                <w:sz w:val="14"/>
                <w:szCs w:val="14"/>
                <w:lang w:eastAsia="cs-CZ"/>
              </w:rPr>
              <w:t>9.A</w:t>
            </w:r>
          </w:p>
          <w:p>
            <w:pPr>
              <w:pStyle w:val="Normal"/>
              <w:widowControl w:val="false"/>
              <w:spacing w:lineRule="auto" w:line="240" w:before="0" w:after="0"/>
              <w:rPr>
                <w:sz w:val="14"/>
                <w:szCs w:val="14"/>
              </w:rPr>
            </w:pPr>
            <w:r>
              <w:rPr>
                <w:rFonts w:eastAsia="Times New Roman" w:cs="Times New Roman" w:ascii="Times New Roman" w:hAnsi="Times New Roman"/>
                <w:sz w:val="14"/>
                <w:szCs w:val="14"/>
                <w:lang w:eastAsia="cs-CZ"/>
              </w:rPr>
              <w:t>9.C</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Cestný beh Maľcov</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Sára Čechová</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9.B</w:t>
            </w:r>
          </w:p>
        </w:tc>
      </w:tr>
      <w:tr>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Cestný beh Maľcov</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25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Oliver Kotvan</w:t>
            </w:r>
          </w:p>
        </w:tc>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9.C</w:t>
            </w:r>
          </w:p>
        </w:tc>
      </w:tr>
    </w:tbl>
    <w:p>
      <w:pPr>
        <w:pStyle w:val="Normal"/>
        <w:keepNext w:val="true"/>
        <w:numPr>
          <w:ilvl w:val="0"/>
          <w:numId w:val="0"/>
        </w:numPr>
        <w:spacing w:lineRule="auto" w:line="240" w:before="0" w:after="0"/>
        <w:jc w:val="both"/>
        <w:outlineLvl w:val="1"/>
        <w:rPr>
          <w:rFonts w:ascii="Times New Roman" w:hAnsi="Times New Roman" w:eastAsia="Arial Unicode MS" w:cs="Times New Roman"/>
          <w:bCs/>
          <w:sz w:val="24"/>
          <w:szCs w:val="24"/>
          <w:lang w:eastAsia="cs-CZ"/>
        </w:rPr>
      </w:pPr>
      <w:r>
        <w:rPr>
          <w:rFonts w:eastAsia="Arial Unicode MS" w:cs="Times New Roman" w:ascii="Times New Roman" w:hAnsi="Times New Roman"/>
          <w:bCs/>
          <w:sz w:val="24"/>
          <w:szCs w:val="24"/>
          <w:lang w:eastAsia="cs-CZ"/>
        </w:rPr>
      </w:r>
    </w:p>
    <w:p>
      <w:pPr>
        <w:pStyle w:val="Normal"/>
        <w:spacing w:lineRule="auto" w:line="240" w:before="0" w:after="0"/>
        <w:jc w:val="both"/>
        <w:rPr>
          <w:rFonts w:ascii="Times New Roman" w:hAnsi="Times New Roman" w:eastAsia="Times New Roman" w:cs="Times New Roman"/>
          <w:b/>
          <w:b/>
          <w:i/>
          <w:i/>
          <w:sz w:val="24"/>
          <w:szCs w:val="24"/>
          <w:lang w:eastAsia="cs-CZ"/>
        </w:rPr>
      </w:pPr>
      <w:r>
        <w:rPr>
          <w:rFonts w:eastAsia="Times New Roman" w:cs="Times New Roman" w:ascii="Times New Roman" w:hAnsi="Times New Roman"/>
          <w:b/>
          <w:i/>
          <w:sz w:val="24"/>
          <w:szCs w:val="24"/>
          <w:lang w:eastAsia="cs-CZ"/>
        </w:rPr>
        <w:t>Do budúcnosti by sme odporučili</w:t>
      </w:r>
    </w:p>
    <w:p>
      <w:pPr>
        <w:pStyle w:val="Normal"/>
        <w:numPr>
          <w:ilvl w:val="0"/>
          <w:numId w:val="3"/>
        </w:numPr>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zatraktívniť náplne krúžkov a vytvoriť viac športových,</w:t>
      </w:r>
    </w:p>
    <w:p>
      <w:pPr>
        <w:pStyle w:val="Normal"/>
        <w:numPr>
          <w:ilvl w:val="0"/>
          <w:numId w:val="3"/>
        </w:numPr>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podporovať vedecké, tanečné, spevácke či rozhlasovo-novinárske krúžky a predovšetkým plavecké krúžky,</w:t>
      </w:r>
    </w:p>
    <w:p>
      <w:pPr>
        <w:pStyle w:val="Normal"/>
        <w:numPr>
          <w:ilvl w:val="0"/>
          <w:numId w:val="3"/>
        </w:numPr>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osloviť rodičov či iných nepedagógov na vedenie krúžkov.</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riekatabuky"/>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color="auto" w:fill="548DD4" w:themeFill="text2" w:themeFillTint="99" w:val="clear"/>
          </w:tcPr>
          <w:p>
            <w:pPr>
              <w:pStyle w:val="Normal"/>
              <w:widowControl/>
              <w:spacing w:lineRule="auto" w:line="240" w:before="0" w:after="0"/>
              <w:jc w:val="left"/>
              <w:rPr>
                <w:sz w:val="24"/>
                <w:szCs w:val="24"/>
              </w:rPr>
            </w:pPr>
            <w:r>
              <w:rPr>
                <w:rFonts w:eastAsia="Times New Roman" w:cs="Times New Roman" w:ascii="Times New Roman" w:hAnsi="Times New Roman"/>
                <w:b/>
                <w:bCs/>
                <w:kern w:val="0"/>
                <w:sz w:val="24"/>
                <w:szCs w:val="24"/>
                <w:lang w:val="sk-SK" w:eastAsia="cs-CZ" w:bidi="ar-SA"/>
              </w:rPr>
              <w:t>Záver</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eastAsia="Arial Unicode MS" w:cs="Times New Roman" w:ascii="Times New Roman" w:hAnsi="Times New Roman"/>
          <w:b/>
          <w:bCs/>
          <w:sz w:val="24"/>
          <w:szCs w:val="24"/>
          <w:lang w:eastAsia="cs-CZ"/>
        </w:rPr>
        <w:tab/>
      </w:r>
      <w:r>
        <w:rPr>
          <w:rFonts w:eastAsia="Arial Unicode MS" w:cs="Times New Roman" w:ascii="Times New Roman" w:hAnsi="Times New Roman"/>
          <w:bCs/>
          <w:sz w:val="24"/>
          <w:szCs w:val="24"/>
          <w:lang w:eastAsia="cs-CZ"/>
        </w:rPr>
        <w:t xml:space="preserve">Ďalší školský rok, ktorý hodnotíme ako úspešný nielen v výchovno-vzdelávacom procese, ale aj v prezentácií školy na verejnosti a v podávaní medzinárodných projektoch Erasmus+. </w:t>
      </w:r>
      <w:r>
        <w:rPr>
          <w:rFonts w:cs="Times New Roman" w:ascii="Times New Roman" w:hAnsi="Times New Roman"/>
          <w:sz w:val="24"/>
          <w:szCs w:val="24"/>
        </w:rPr>
        <w:t xml:space="preserve">Odozva rodičovskej verejnosti na našu prácu je naďalej veľmi dobrá, preto si to vyžaduje ešte kreatívnejší prístup pedagógov k výchove a vzdelávaniu žiakov na škole. Pravidelné porady vedenia umožňovali sledovať všetky aspekty vyučovacieho procesu, umožňovali okamžité reakcie na vzniknuté situácie a ich prípadné riešenia. Pozitívne hodnotím tímovú spoluprácu vo vedení školy a rozdelenie úloh a kompetencií vzhľadom na odbornosť. Úzko sme spolupracovali s koordinátormi MZ a PK a výsledky z ich stretnutí sme implementovali do riadiacej činnosti, kreativita vedenia školy, koordinátorov MZ a PK a vyučujúcich sa v plnej miere prejavila v období mimoriadneho prerušenia vyučovania počas COVID-19, čo vysoko ohodnotili samotní rodičia a verejnosť. Práce žiakov boli pravidelne prezentované na webovej a facebookovej stránke školy, Ahoj Bardejov – internetový portál, BTV, Bardejovské novosti, ale aj na súkromných facebookových stránkach pedagógov a rodičov. </w:t>
      </w:r>
    </w:p>
    <w:p>
      <w:pPr>
        <w:pStyle w:val="Normal"/>
        <w:spacing w:lineRule="auto" w:line="240" w:before="0" w:after="0"/>
        <w:ind w:firstLine="708"/>
        <w:jc w:val="both"/>
        <w:rPr>
          <w:rFonts w:ascii="Times New Roman" w:hAnsi="Times New Roman" w:eastAsia="Times New Roman" w:cs="Times New Roman"/>
          <w:b/>
          <w:b/>
          <w:i/>
          <w:i/>
          <w:sz w:val="24"/>
          <w:szCs w:val="24"/>
          <w:lang w:eastAsia="cs-CZ"/>
        </w:rPr>
      </w:pPr>
      <w:r>
        <w:rPr/>
      </w:r>
    </w:p>
    <w:p>
      <w:pPr>
        <w:pStyle w:val="Normal"/>
        <w:spacing w:lineRule="auto" w:line="240" w:before="0" w:after="0"/>
        <w:ind w:firstLine="708"/>
        <w:jc w:val="both"/>
        <w:rPr>
          <w:rFonts w:ascii="Times New Roman" w:hAnsi="Times New Roman" w:eastAsia="Times New Roman" w:cs="Times New Roman"/>
          <w:b/>
          <w:b/>
          <w:i/>
          <w:i/>
          <w:sz w:val="24"/>
          <w:szCs w:val="24"/>
          <w:lang w:eastAsia="cs-CZ"/>
        </w:rPr>
      </w:pPr>
      <w:r>
        <w:rPr/>
      </w:r>
    </w:p>
    <w:p>
      <w:pPr>
        <w:pStyle w:val="Normal"/>
        <w:spacing w:lineRule="auto" w:line="240" w:before="0" w:after="0"/>
        <w:ind w:firstLine="708"/>
        <w:jc w:val="both"/>
        <w:rPr>
          <w:rFonts w:ascii="Times New Roman" w:hAnsi="Times New Roman" w:eastAsia="Times New Roman" w:cs="Times New Roman"/>
          <w:b/>
          <w:b/>
          <w:i/>
          <w:i/>
          <w:sz w:val="24"/>
          <w:szCs w:val="24"/>
          <w:lang w:eastAsia="cs-CZ"/>
        </w:rPr>
      </w:pPr>
      <w:r>
        <w:rPr>
          <w:rFonts w:eastAsia="Times New Roman" w:cs="Times New Roman" w:ascii="Times New Roman" w:hAnsi="Times New Roman"/>
          <w:b/>
          <w:i/>
          <w:sz w:val="24"/>
          <w:szCs w:val="24"/>
          <w:lang w:eastAsia="cs-CZ"/>
        </w:rPr>
        <w:t>Správa o výchovno-vzdelávacej činnosti, jej výsledkoch a podmienkach za školský rok 2022/2023 bola prerokovaná na pedagogickej rade 28. augusta 2023.</w:t>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V Bardejove, 28.08.2023                                                          Mgr. Milena Kravcová</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riaditeľka školy</w:t>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Times New Roman" w:ascii="Times New Roman" w:hAnsi="Times New Roman"/>
          <w:i/>
          <w:sz w:val="24"/>
          <w:szCs w:val="24"/>
          <w:lang w:eastAsia="cs-CZ"/>
        </w:rPr>
        <w:t>Príloha č. 2</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Vyjadrenie Rady školy k Správe o výchovno-vzdelávacej činnosti, jej výsledkoch a podmienkach v školskom roku 2022/2023</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before="0" w:after="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Rada školy pri Základnej škole s materskou školou, Pod Vinbargom 1 v Bardejove berie na vedomie a odporúča zriaďovateľovi Mestu Bardejov, Radničné námestie 16, schváliť Správu o výchovno-vzdelávacej činnosti, jej výsledkoch a podmienkach za školský rok 2022/2023, ktorá bola  prerokovaná na rade školy dňa </w:t>
      </w:r>
      <w:r>
        <w:rPr>
          <w:rFonts w:eastAsia="Times New Roman" w:cs="Times New Roman" w:ascii="Times New Roman" w:hAnsi="Times New Roman"/>
          <w:sz w:val="24"/>
          <w:szCs w:val="24"/>
          <w:lang w:eastAsia="cs-CZ"/>
        </w:rPr>
        <w:t>27</w:t>
      </w:r>
      <w:r>
        <w:rPr>
          <w:rFonts w:eastAsia="Times New Roman" w:cs="Times New Roman" w:ascii="Times New Roman" w:hAnsi="Times New Roman"/>
          <w:color w:val="000000"/>
          <w:sz w:val="24"/>
          <w:szCs w:val="24"/>
          <w:lang w:eastAsia="cs-CZ"/>
        </w:rPr>
        <w:t xml:space="preserve">. </w:t>
      </w:r>
      <w:r>
        <w:rPr>
          <w:rFonts w:eastAsia="Times New Roman" w:cs="Times New Roman" w:ascii="Times New Roman" w:hAnsi="Times New Roman"/>
          <w:color w:val="000000"/>
          <w:sz w:val="24"/>
          <w:szCs w:val="24"/>
          <w:lang w:eastAsia="cs-CZ"/>
        </w:rPr>
        <w:t>septem</w:t>
      </w:r>
      <w:r>
        <w:rPr>
          <w:rFonts w:eastAsia="Times New Roman" w:cs="Times New Roman" w:ascii="Times New Roman" w:hAnsi="Times New Roman"/>
          <w:color w:val="000000"/>
          <w:sz w:val="24"/>
          <w:szCs w:val="24"/>
          <w:lang w:eastAsia="cs-CZ"/>
        </w:rPr>
        <w:t>bra 2023</w:t>
      </w:r>
      <w:r>
        <w:rPr>
          <w:rFonts w:eastAsia="Times New Roman" w:cs="Times New Roman" w:ascii="Times New Roman" w:hAnsi="Times New Roman"/>
          <w:color w:val="000000"/>
          <w:sz w:val="24"/>
          <w:szCs w:val="24"/>
          <w:lang w:eastAsia="cs-CZ"/>
        </w:rPr>
        <w:t>.</w:t>
      </w:r>
    </w:p>
    <w:p>
      <w:pPr>
        <w:pStyle w:val="Normal"/>
        <w:spacing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Bardejov, </w:t>
      </w:r>
      <w:r>
        <w:rPr>
          <w:rFonts w:eastAsia="Times New Roman" w:cs="Times New Roman" w:ascii="Times New Roman" w:hAnsi="Times New Roman"/>
          <w:sz w:val="24"/>
          <w:szCs w:val="24"/>
          <w:lang w:eastAsia="cs-CZ"/>
        </w:rPr>
        <w:t>27</w:t>
      </w:r>
      <w:r>
        <w:rPr>
          <w:rFonts w:eastAsia="Times New Roman" w:cs="Times New Roman" w:ascii="Times New Roman" w:hAnsi="Times New Roman"/>
          <w:sz w:val="24"/>
          <w:szCs w:val="24"/>
          <w:lang w:eastAsia="cs-CZ"/>
        </w:rPr>
        <w:t>. 0</w:t>
      </w:r>
      <w:r>
        <w:rPr>
          <w:rFonts w:eastAsia="Times New Roman" w:cs="Times New Roman" w:ascii="Times New Roman" w:hAnsi="Times New Roman"/>
          <w:sz w:val="24"/>
          <w:szCs w:val="24"/>
          <w:lang w:eastAsia="cs-CZ"/>
        </w:rPr>
        <w:t>9</w:t>
      </w:r>
      <w:r>
        <w:rPr>
          <w:rFonts w:eastAsia="Times New Roman" w:cs="Times New Roman" w:ascii="Times New Roman" w:hAnsi="Times New Roman"/>
          <w:sz w:val="24"/>
          <w:szCs w:val="24"/>
          <w:lang w:eastAsia="cs-CZ"/>
        </w:rPr>
        <w:t xml:space="preserve">. 2023   </w:t>
        <w:tab/>
        <w:t xml:space="preserve">      </w:t>
        <w:tab/>
        <w:t xml:space="preserve">                                 Mgr. Mária Nogová</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predseda RŠ</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Príloha č. 3</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Vyjadrenie zriaďovateľa školy k Správe o výchovno-vzdelávacej činnosti, jej výsledkoch a podmienkach v školskom roku 2022/2023</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Predkladá:</w:t>
      </w:r>
    </w:p>
    <w:p>
      <w:pPr>
        <w:pStyle w:val="Normal"/>
        <w:tabs>
          <w:tab w:val="clear" w:pos="708"/>
          <w:tab w:val="left" w:pos="4678" w:leader="none"/>
        </w:tabs>
        <w:spacing w:lineRule="auto" w:line="240"/>
        <w:jc w:val="both"/>
        <w:rPr>
          <w:rFonts w:ascii="Times New Roman" w:hAnsi="Times New Roman" w:cs="Times New Roman"/>
          <w:sz w:val="24"/>
          <w:szCs w:val="24"/>
        </w:rPr>
      </w:pPr>
      <w:r>
        <w:rPr>
          <w:rFonts w:cs="Times New Roman" w:ascii="Times New Roman" w:hAnsi="Times New Roman"/>
          <w:sz w:val="24"/>
          <w:szCs w:val="24"/>
        </w:rPr>
        <w:t>Mgr. Milena Kravcová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Prerokované v pedagogickej rade školy 28.08.2023</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Odporúčanie pedagogickej rady:</w:t>
      </w:r>
      <w:r>
        <w:rPr>
          <w:rFonts w:cs="Times New Roman" w:ascii="Times New Roman" w:hAnsi="Times New Roman"/>
          <w:sz w:val="24"/>
          <w:szCs w:val="24"/>
        </w:rPr>
        <w:t xml:space="preserve">                      Pedagogická rada odporúča zriaďovateľovi </w:t>
      </w:r>
    </w:p>
    <w:p>
      <w:pPr>
        <w:pStyle w:val="Normal"/>
        <w:tabs>
          <w:tab w:val="clear" w:pos="708"/>
          <w:tab w:val="left" w:pos="4678" w:leader="none"/>
        </w:tabs>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schváliť</w:t>
      </w:r>
    </w:p>
    <w:p>
      <w:pPr>
        <w:pStyle w:val="Normal"/>
        <w:tabs>
          <w:tab w:val="clear" w:pos="708"/>
          <w:tab w:val="left" w:pos="4678" w:leader="none"/>
        </w:tabs>
        <w:spacing w:lineRule="auto" w:line="240"/>
        <w:ind w:left="4678" w:hanging="0"/>
        <w:jc w:val="both"/>
        <w:rPr>
          <w:rFonts w:ascii="Times New Roman" w:hAnsi="Times New Roman" w:cs="Times New Roman"/>
          <w:sz w:val="24"/>
          <w:szCs w:val="24"/>
        </w:rPr>
      </w:pPr>
      <w:r>
        <w:rPr>
          <w:rFonts w:cs="Times New Roman" w:ascii="Times New Roman" w:hAnsi="Times New Roman"/>
          <w:sz w:val="24"/>
          <w:szCs w:val="24"/>
        </w:rPr>
        <w:t>Správu o výchovno-vzdelávacej činnosti, jej         výsledkoch a podmienkach v školskom roku 2022/2023</w:t>
      </w:r>
    </w:p>
    <w:p>
      <w:pPr>
        <w:pStyle w:val="Normal"/>
        <w:tabs>
          <w:tab w:val="clear" w:pos="708"/>
          <w:tab w:val="left" w:pos="4678" w:leader="none"/>
        </w:tabs>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Stanovisko zriaďovateľa:                                  </w:t>
      </w:r>
      <w:r>
        <w:rPr>
          <w:rFonts w:cs="Times New Roman" w:ascii="Times New Roman" w:hAnsi="Times New Roman"/>
          <w:sz w:val="24"/>
          <w:szCs w:val="24"/>
        </w:rPr>
        <w:t>Mesto Bardejov</w:t>
      </w:r>
      <w:r>
        <w:rPr>
          <w:rFonts w:cs="Times New Roman" w:ascii="Times New Roman" w:hAnsi="Times New Roman"/>
          <w:b/>
          <w:sz w:val="24"/>
          <w:szCs w:val="24"/>
        </w:rPr>
        <w:t xml:space="preserve"> </w:t>
      </w:r>
    </w:p>
    <w:p>
      <w:pPr>
        <w:pStyle w:val="Normal"/>
        <w:tabs>
          <w:tab w:val="clear" w:pos="708"/>
          <w:tab w:val="left" w:pos="4678" w:leader="none"/>
        </w:tabs>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Radničné námestie 16, Bardejov</w:t>
      </w:r>
    </w:p>
    <w:p>
      <w:pPr>
        <w:pStyle w:val="Normal"/>
        <w:tabs>
          <w:tab w:val="clear" w:pos="708"/>
          <w:tab w:val="left" w:pos="4678" w:leader="none"/>
        </w:tabs>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schvaľuje/neschvaľuje</w:t>
      </w:r>
    </w:p>
    <w:p>
      <w:pPr>
        <w:pStyle w:val="Normal"/>
        <w:tabs>
          <w:tab w:val="clear" w:pos="708"/>
          <w:tab w:val="left" w:pos="4678" w:leader="none"/>
        </w:tabs>
        <w:spacing w:lineRule="auto" w:line="240"/>
        <w:ind w:left="4678" w:hanging="0"/>
        <w:jc w:val="both"/>
        <w:rPr>
          <w:rFonts w:ascii="Times New Roman" w:hAnsi="Times New Roman" w:cs="Times New Roman"/>
          <w:sz w:val="24"/>
          <w:szCs w:val="24"/>
        </w:rPr>
      </w:pPr>
      <w:r>
        <w:rPr>
          <w:rFonts w:cs="Times New Roman" w:ascii="Times New Roman" w:hAnsi="Times New Roman"/>
          <w:sz w:val="24"/>
          <w:szCs w:val="24"/>
        </w:rPr>
        <w:t>Správu o výchovno-vzdelávacej činnosti, jej výsledkoch a podmienkach v školskom roku 2022/2023</w:t>
      </w:r>
    </w:p>
    <w:p>
      <w:pPr>
        <w:pStyle w:val="Normal"/>
        <w:tabs>
          <w:tab w:val="clear" w:pos="708"/>
          <w:tab w:val="left" w:pos="4678" w:leader="none"/>
        </w:tabs>
        <w:spacing w:lineRule="auto" w:line="240"/>
        <w:ind w:left="4678"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ind w:left="4678"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678" w:leader="none"/>
        </w:tabs>
        <w:spacing w:lineRule="auto" w:line="240" w:before="0" w:after="0"/>
        <w:ind w:left="4678" w:hanging="0"/>
        <w:jc w:val="both"/>
        <w:rPr>
          <w:rFonts w:ascii="Times New Roman" w:hAnsi="Times New Roman" w:cs="Times New Roman"/>
          <w:sz w:val="24"/>
          <w:szCs w:val="24"/>
        </w:rPr>
      </w:pPr>
      <w:r>
        <w:rPr>
          <w:rFonts w:cs="Times New Roman" w:ascii="Times New Roman" w:hAnsi="Times New Roman"/>
          <w:sz w:val="24"/>
          <w:szCs w:val="24"/>
        </w:rPr>
        <w:t>..................................................</w:t>
      </w:r>
    </w:p>
    <w:p>
      <w:pPr>
        <w:pStyle w:val="Normal"/>
        <w:tabs>
          <w:tab w:val="clear" w:pos="708"/>
          <w:tab w:val="left" w:pos="4678" w:leader="none"/>
        </w:tabs>
        <w:spacing w:lineRule="auto" w:line="240"/>
        <w:ind w:left="4678"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 zriaďovateľa</w:t>
      </w:r>
    </w:p>
    <w:p>
      <w:pPr>
        <w:pStyle w:val="Normal"/>
        <w:rPr>
          <w:rFonts w:ascii="Times New Roman" w:hAnsi="Times New Roman" w:cs="Times New Roman"/>
          <w:color w:val="FF0000"/>
          <w:sz w:val="24"/>
          <w:szCs w:val="24"/>
        </w:rPr>
      </w:pPr>
      <w:r>
        <w:rPr>
          <w:rFonts w:cs="Times New Roman" w:ascii="Times New Roman" w:hAnsi="Times New Roman"/>
          <w:sz w:val="24"/>
          <w:szCs w:val="24"/>
        </w:rPr>
        <w:t xml:space="preserve">V Bardejove dňa: </w:t>
      </w:r>
      <w:r>
        <w:rPr>
          <w:rFonts w:cs="Times New Roman" w:ascii="Times New Roman" w:hAnsi="Times New Roman"/>
          <w:color w:val="000000"/>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415" w:leader="none"/>
        </w:tabs>
        <w:spacing w:before="0" w:afterAutospacing="1"/>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415" w:leader="none"/>
        </w:tabs>
        <w:spacing w:before="0" w:afterAutospacing="1"/>
        <w:rPr>
          <w:rFonts w:ascii="Times New Roman" w:hAnsi="Times New Roman" w:cs="Times New Roman"/>
          <w:sz w:val="24"/>
          <w:szCs w:val="24"/>
        </w:rPr>
      </w:pP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headerReference w:type="default" r:id="rId10"/>
      <w:footerReference w:type="default" r:id="rId11"/>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Roboto">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59642206"/>
    </w:sdtPr>
    <w:sdtContent>
      <w:p>
        <w:pPr>
          <w:pStyle w:val="Pta"/>
          <w:jc w:val="right"/>
          <w:rPr/>
        </w:pPr>
        <w:r>
          <w:rPr/>
          <w:fldChar w:fldCharType="begin"/>
        </w:r>
        <w:r>
          <w:rPr/>
          <w:instrText xml:space="preserve"> PAGE </w:instrText>
        </w:r>
        <w:r>
          <w:rPr/>
          <w:fldChar w:fldCharType="separate"/>
        </w:r>
        <w:r>
          <w:rPr/>
          <w:t>32</w:t>
        </w:r>
        <w:r>
          <w:rPr/>
          <w:fldChar w:fldCharType="end"/>
        </w:r>
      </w:p>
    </w:sdtContent>
  </w:sdt>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spacing w:lineRule="auto" w:line="240" w:before="0" w:after="0"/>
      <w:rPr>
        <w:rFonts w:ascii="Times New Roman" w:hAnsi="Times New Roman" w:eastAsia="Times New Roman" w:cs="Times New Roman"/>
        <w:b/>
        <w:b/>
        <w:bCs/>
        <w:i/>
        <w:i/>
        <w:color w:val="548DD4" w:themeColor="text2" w:themeTint="99"/>
        <w:sz w:val="24"/>
        <w:szCs w:val="24"/>
        <w:lang w:eastAsia="cs-CZ"/>
      </w:rPr>
    </w:pPr>
    <w:r>
      <w:rPr>
        <w:rFonts w:eastAsia="Times New Roman" w:cs="Times New Roman" w:ascii="Times New Roman" w:hAnsi="Times New Roman"/>
        <w:b/>
        <w:bCs/>
        <w:i/>
        <w:color w:val="548DD4" w:themeColor="text2" w:themeTint="99"/>
        <w:sz w:val="24"/>
        <w:szCs w:val="24"/>
        <w:lang w:eastAsia="cs-CZ"/>
      </w:rPr>
      <w:tab/>
      <w:t>Základná škola s materskou školou, Pod Vinbargom 1, 085 69 Bardejov</w:t>
      <w:tab/>
    </w:r>
  </w:p>
  <w:p>
    <w:pPr>
      <w:pStyle w:val="Normal"/>
      <w:spacing w:lineRule="auto" w:line="240" w:before="0" w:after="0"/>
      <w:jc w:val="center"/>
      <w:rPr>
        <w:rFonts w:ascii="Times New Roman" w:hAnsi="Times New Roman" w:eastAsia="Times New Roman" w:cs="Times New Roman"/>
        <w:bCs/>
        <w:i/>
        <w:i/>
        <w:color w:val="548DD4" w:themeColor="text2" w:themeTint="99"/>
        <w:sz w:val="24"/>
        <w:szCs w:val="24"/>
        <w:lang w:eastAsia="cs-CZ"/>
      </w:rPr>
    </w:pPr>
    <w:r>
      <w:rPr>
        <w:rFonts w:eastAsia="Times New Roman" w:cs="Times New Roman" w:ascii="Times New Roman" w:hAnsi="Times New Roman"/>
        <w:bCs/>
        <w:i/>
        <w:color w:val="548DD4" w:themeColor="text2" w:themeTint="99"/>
        <w:sz w:val="24"/>
        <w:szCs w:val="24"/>
        <w:lang w:eastAsia="cs-CZ"/>
      </w:rPr>
      <w:t>Správa o výchovno-vzdelávacej činnosti, jej výsledkoch a podmienkach za školský rok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033" w:hanging="360"/>
      </w:pPr>
      <w:rPr>
        <w:rFonts w:ascii="Symbol" w:hAnsi="Symbol" w:cs="Symbol" w:hint="default"/>
      </w:rPr>
    </w:lvl>
    <w:lvl w:ilvl="1">
      <w:start w:val="1"/>
      <w:numFmt w:val="bullet"/>
      <w:lvlText w:val="o"/>
      <w:lvlJc w:val="left"/>
      <w:pPr>
        <w:tabs>
          <w:tab w:val="num" w:pos="0"/>
        </w:tabs>
        <w:ind w:left="1753" w:hanging="360"/>
      </w:pPr>
      <w:rPr>
        <w:rFonts w:ascii="Courier New" w:hAnsi="Courier New" w:cs="Courier New" w:hint="default"/>
      </w:rPr>
    </w:lvl>
    <w:lvl w:ilvl="2">
      <w:start w:val="1"/>
      <w:numFmt w:val="bullet"/>
      <w:lvlText w:val=""/>
      <w:lvlJc w:val="left"/>
      <w:pPr>
        <w:tabs>
          <w:tab w:val="num" w:pos="0"/>
        </w:tabs>
        <w:ind w:left="2473" w:hanging="360"/>
      </w:pPr>
      <w:rPr>
        <w:rFonts w:ascii="Wingdings" w:hAnsi="Wingdings" w:cs="Wingdings" w:hint="default"/>
      </w:rPr>
    </w:lvl>
    <w:lvl w:ilvl="3">
      <w:start w:val="1"/>
      <w:numFmt w:val="bullet"/>
      <w:lvlText w:val=""/>
      <w:lvlJc w:val="left"/>
      <w:pPr>
        <w:tabs>
          <w:tab w:val="num" w:pos="0"/>
        </w:tabs>
        <w:ind w:left="3193" w:hanging="360"/>
      </w:pPr>
      <w:rPr>
        <w:rFonts w:ascii="Symbol" w:hAnsi="Symbol" w:cs="Symbol" w:hint="default"/>
      </w:rPr>
    </w:lvl>
    <w:lvl w:ilvl="4">
      <w:start w:val="1"/>
      <w:numFmt w:val="bullet"/>
      <w:lvlText w:val="o"/>
      <w:lvlJc w:val="left"/>
      <w:pPr>
        <w:tabs>
          <w:tab w:val="num" w:pos="0"/>
        </w:tabs>
        <w:ind w:left="3913" w:hanging="360"/>
      </w:pPr>
      <w:rPr>
        <w:rFonts w:ascii="Courier New" w:hAnsi="Courier New" w:cs="Courier New" w:hint="default"/>
      </w:rPr>
    </w:lvl>
    <w:lvl w:ilvl="5">
      <w:start w:val="1"/>
      <w:numFmt w:val="bullet"/>
      <w:lvlText w:val=""/>
      <w:lvlJc w:val="left"/>
      <w:pPr>
        <w:tabs>
          <w:tab w:val="num" w:pos="0"/>
        </w:tabs>
        <w:ind w:left="4633" w:hanging="360"/>
      </w:pPr>
      <w:rPr>
        <w:rFonts w:ascii="Wingdings" w:hAnsi="Wingdings" w:cs="Wingdings" w:hint="default"/>
      </w:rPr>
    </w:lvl>
    <w:lvl w:ilvl="6">
      <w:start w:val="1"/>
      <w:numFmt w:val="bullet"/>
      <w:lvlText w:val=""/>
      <w:lvlJc w:val="left"/>
      <w:pPr>
        <w:tabs>
          <w:tab w:val="num" w:pos="0"/>
        </w:tabs>
        <w:ind w:left="5353" w:hanging="360"/>
      </w:pPr>
      <w:rPr>
        <w:rFonts w:ascii="Symbol" w:hAnsi="Symbol" w:cs="Symbol" w:hint="default"/>
      </w:rPr>
    </w:lvl>
    <w:lvl w:ilvl="7">
      <w:start w:val="1"/>
      <w:numFmt w:val="bullet"/>
      <w:lvlText w:val="o"/>
      <w:lvlJc w:val="left"/>
      <w:pPr>
        <w:tabs>
          <w:tab w:val="num" w:pos="0"/>
        </w:tabs>
        <w:ind w:left="6073" w:hanging="360"/>
      </w:pPr>
      <w:rPr>
        <w:rFonts w:ascii="Courier New" w:hAnsi="Courier New" w:cs="Courier New" w:hint="default"/>
      </w:rPr>
    </w:lvl>
    <w:lvl w:ilvl="8">
      <w:start w:val="1"/>
      <w:numFmt w:val="bullet"/>
      <w:lvlText w:val=""/>
      <w:lvlJc w:val="left"/>
      <w:pPr>
        <w:tabs>
          <w:tab w:val="num" w:pos="0"/>
        </w:tabs>
        <w:ind w:left="6793"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qFormat/>
    <w:rsid w:val="0030317b"/>
    <w:pPr>
      <w:keepNext w:val="true"/>
      <w:spacing w:lineRule="auto" w:line="240" w:before="0" w:after="0"/>
      <w:ind w:left="360" w:hanging="0"/>
      <w:jc w:val="both"/>
      <w:outlineLvl w:val="0"/>
    </w:pPr>
    <w:rPr>
      <w:rFonts w:ascii="Times New Roman" w:hAnsi="Times New Roman" w:eastAsia="Arial Unicode MS" w:cs="Times New Roman"/>
      <w:b/>
      <w:bCs/>
      <w:sz w:val="24"/>
      <w:szCs w:val="24"/>
      <w:lang w:eastAsia="cs-CZ"/>
    </w:rPr>
  </w:style>
  <w:style w:type="paragraph" w:styleId="Nadpis2">
    <w:name w:val="Heading 2"/>
    <w:basedOn w:val="Normal"/>
    <w:next w:val="Normal"/>
    <w:link w:val="Nadpis2Char"/>
    <w:qFormat/>
    <w:rsid w:val="0030317b"/>
    <w:pPr>
      <w:keepNext w:val="true"/>
      <w:spacing w:lineRule="auto" w:line="240" w:before="0" w:after="0"/>
      <w:jc w:val="center"/>
      <w:outlineLvl w:val="1"/>
    </w:pPr>
    <w:rPr>
      <w:rFonts w:ascii="Times New Roman" w:hAnsi="Times New Roman" w:eastAsia="Arial Unicode MS" w:cs="Times New Roman"/>
      <w:b/>
      <w:bCs/>
      <w:sz w:val="24"/>
      <w:szCs w:val="24"/>
      <w:lang w:val="cs-CZ" w:eastAsia="cs-CZ"/>
    </w:rPr>
  </w:style>
  <w:style w:type="paragraph" w:styleId="Nadpis3">
    <w:name w:val="Heading 3"/>
    <w:basedOn w:val="Normal"/>
    <w:next w:val="Normal"/>
    <w:link w:val="Nadpis3Char"/>
    <w:qFormat/>
    <w:rsid w:val="0030317b"/>
    <w:pPr>
      <w:keepNext w:val="true"/>
      <w:spacing w:lineRule="auto" w:line="240" w:before="0" w:after="0"/>
      <w:outlineLvl w:val="2"/>
    </w:pPr>
    <w:rPr>
      <w:rFonts w:ascii="Times New Roman" w:hAnsi="Times New Roman" w:eastAsia="Arial Unicode MS" w:cs="Times New Roman"/>
      <w:b/>
      <w:bCs/>
      <w:sz w:val="24"/>
      <w:szCs w:val="24"/>
      <w:lang w:eastAsia="cs-CZ"/>
    </w:rPr>
  </w:style>
  <w:style w:type="paragraph" w:styleId="Nadpis4">
    <w:name w:val="Heading 4"/>
    <w:basedOn w:val="Normal"/>
    <w:next w:val="Normal"/>
    <w:link w:val="Nadpis4Char"/>
    <w:qFormat/>
    <w:rsid w:val="0030317b"/>
    <w:pPr>
      <w:keepNext w:val="true"/>
      <w:spacing w:lineRule="auto" w:line="240" w:before="0" w:after="0"/>
      <w:jc w:val="center"/>
      <w:outlineLvl w:val="3"/>
    </w:pPr>
    <w:rPr>
      <w:rFonts w:ascii="Times New Roman" w:hAnsi="Times New Roman" w:eastAsia="Arial Unicode MS" w:cs="Times New Roman"/>
      <w:b/>
      <w:bCs/>
      <w:sz w:val="40"/>
      <w:szCs w:val="24"/>
      <w:lang w:eastAsia="cs-CZ"/>
    </w:rPr>
  </w:style>
  <w:style w:type="paragraph" w:styleId="Nadpis6">
    <w:name w:val="Heading 6"/>
    <w:basedOn w:val="Normal"/>
    <w:next w:val="Normal"/>
    <w:link w:val="Nadpis6Char"/>
    <w:qFormat/>
    <w:rsid w:val="0030317b"/>
    <w:pPr>
      <w:keepNext w:val="true"/>
      <w:spacing w:lineRule="auto" w:line="240" w:before="0" w:after="0"/>
      <w:jc w:val="center"/>
      <w:outlineLvl w:val="5"/>
    </w:pPr>
    <w:rPr>
      <w:rFonts w:ascii="Times New Roman" w:hAnsi="Times New Roman" w:eastAsia="Arial Unicode MS" w:cs="Times New Roman"/>
      <w:b/>
      <w:bCs/>
      <w:sz w:val="20"/>
      <w:szCs w:val="24"/>
      <w:lang w:eastAsia="cs-CZ"/>
    </w:rPr>
  </w:style>
  <w:style w:type="paragraph" w:styleId="Nadpis7">
    <w:name w:val="Heading 7"/>
    <w:basedOn w:val="Normal"/>
    <w:next w:val="Normal"/>
    <w:link w:val="Nadpis7Char"/>
    <w:qFormat/>
    <w:rsid w:val="0030317b"/>
    <w:pPr>
      <w:keepNext w:val="true"/>
      <w:spacing w:lineRule="auto" w:line="240" w:before="0" w:after="0"/>
      <w:jc w:val="both"/>
      <w:outlineLvl w:val="6"/>
    </w:pPr>
    <w:rPr>
      <w:rFonts w:ascii="Times New Roman" w:hAnsi="Times New Roman" w:eastAsia="Times New Roman" w:cs="Times New Roman"/>
      <w:b/>
      <w:bCs/>
      <w:sz w:val="24"/>
      <w:szCs w:val="24"/>
      <w:lang w:eastAsia="cs-CZ"/>
    </w:rPr>
  </w:style>
  <w:style w:type="paragraph" w:styleId="Nadpis8">
    <w:name w:val="Heading 8"/>
    <w:basedOn w:val="Normal"/>
    <w:next w:val="Normal"/>
    <w:link w:val="Nadpis8Char"/>
    <w:qFormat/>
    <w:rsid w:val="0030317b"/>
    <w:pPr>
      <w:keepNext w:val="true"/>
      <w:spacing w:lineRule="auto" w:line="240" w:before="0" w:after="0"/>
      <w:outlineLvl w:val="7"/>
    </w:pPr>
    <w:rPr>
      <w:rFonts w:ascii="Times New Roman" w:hAnsi="Times New Roman" w:eastAsia="Times New Roman" w:cs="Times New Roman"/>
      <w:b/>
      <w:bCs/>
      <w:sz w:val="18"/>
      <w:szCs w:val="24"/>
      <w:lang w:eastAsia="cs-CZ"/>
    </w:rPr>
  </w:style>
  <w:style w:type="paragraph" w:styleId="Nadpis9">
    <w:name w:val="Heading 9"/>
    <w:basedOn w:val="Normal"/>
    <w:next w:val="Normal"/>
    <w:link w:val="Nadpis9Char"/>
    <w:qFormat/>
    <w:rsid w:val="0030317b"/>
    <w:pPr>
      <w:keepNext w:val="true"/>
      <w:spacing w:lineRule="auto" w:line="240" w:before="0" w:after="0"/>
      <w:jc w:val="center"/>
      <w:outlineLvl w:val="8"/>
    </w:pPr>
    <w:rPr>
      <w:rFonts w:ascii="Times New Roman" w:hAnsi="Times New Roman" w:eastAsia="Times New Roman" w:cs="Times New Roman"/>
      <w:b/>
      <w:bCs/>
      <w:sz w:val="18"/>
      <w:szCs w:val="24"/>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qFormat/>
    <w:rsid w:val="0030317b"/>
    <w:rPr>
      <w:rFonts w:ascii="Times New Roman" w:hAnsi="Times New Roman" w:eastAsia="Arial Unicode MS" w:cs="Times New Roman"/>
      <w:b/>
      <w:bCs/>
      <w:sz w:val="24"/>
      <w:szCs w:val="24"/>
      <w:lang w:eastAsia="cs-CZ"/>
    </w:rPr>
  </w:style>
  <w:style w:type="character" w:styleId="Nadpis2Char" w:customStyle="1">
    <w:name w:val="Nadpis 2 Char"/>
    <w:basedOn w:val="DefaultParagraphFont"/>
    <w:qFormat/>
    <w:rsid w:val="0030317b"/>
    <w:rPr>
      <w:rFonts w:ascii="Times New Roman" w:hAnsi="Times New Roman" w:eastAsia="Arial Unicode MS" w:cs="Times New Roman"/>
      <w:b/>
      <w:bCs/>
      <w:sz w:val="24"/>
      <w:szCs w:val="24"/>
      <w:lang w:val="cs-CZ" w:eastAsia="cs-CZ"/>
    </w:rPr>
  </w:style>
  <w:style w:type="character" w:styleId="Nadpis3Char" w:customStyle="1">
    <w:name w:val="Nadpis 3 Char"/>
    <w:basedOn w:val="DefaultParagraphFont"/>
    <w:qFormat/>
    <w:rsid w:val="0030317b"/>
    <w:rPr>
      <w:rFonts w:ascii="Times New Roman" w:hAnsi="Times New Roman" w:eastAsia="Arial Unicode MS" w:cs="Times New Roman"/>
      <w:b/>
      <w:bCs/>
      <w:sz w:val="24"/>
      <w:szCs w:val="24"/>
      <w:lang w:eastAsia="cs-CZ"/>
    </w:rPr>
  </w:style>
  <w:style w:type="character" w:styleId="Nadpis4Char" w:customStyle="1">
    <w:name w:val="Nadpis 4 Char"/>
    <w:basedOn w:val="DefaultParagraphFont"/>
    <w:qFormat/>
    <w:rsid w:val="0030317b"/>
    <w:rPr>
      <w:rFonts w:ascii="Times New Roman" w:hAnsi="Times New Roman" w:eastAsia="Arial Unicode MS" w:cs="Times New Roman"/>
      <w:b/>
      <w:bCs/>
      <w:sz w:val="40"/>
      <w:szCs w:val="24"/>
      <w:lang w:eastAsia="cs-CZ"/>
    </w:rPr>
  </w:style>
  <w:style w:type="character" w:styleId="Nadpis6Char" w:customStyle="1">
    <w:name w:val="Nadpis 6 Char"/>
    <w:basedOn w:val="DefaultParagraphFont"/>
    <w:qFormat/>
    <w:rsid w:val="0030317b"/>
    <w:rPr>
      <w:rFonts w:ascii="Times New Roman" w:hAnsi="Times New Roman" w:eastAsia="Arial Unicode MS" w:cs="Times New Roman"/>
      <w:b/>
      <w:bCs/>
      <w:sz w:val="20"/>
      <w:szCs w:val="24"/>
      <w:lang w:eastAsia="cs-CZ"/>
    </w:rPr>
  </w:style>
  <w:style w:type="character" w:styleId="Nadpis7Char" w:customStyle="1">
    <w:name w:val="Nadpis 7 Char"/>
    <w:basedOn w:val="DefaultParagraphFont"/>
    <w:qFormat/>
    <w:rsid w:val="0030317b"/>
    <w:rPr>
      <w:rFonts w:ascii="Times New Roman" w:hAnsi="Times New Roman" w:eastAsia="Times New Roman" w:cs="Times New Roman"/>
      <w:b/>
      <w:bCs/>
      <w:sz w:val="24"/>
      <w:szCs w:val="24"/>
      <w:lang w:eastAsia="cs-CZ"/>
    </w:rPr>
  </w:style>
  <w:style w:type="character" w:styleId="Nadpis8Char" w:customStyle="1">
    <w:name w:val="Nadpis 8 Char"/>
    <w:basedOn w:val="DefaultParagraphFont"/>
    <w:qFormat/>
    <w:rsid w:val="0030317b"/>
    <w:rPr>
      <w:rFonts w:ascii="Times New Roman" w:hAnsi="Times New Roman" w:eastAsia="Times New Roman" w:cs="Times New Roman"/>
      <w:b/>
      <w:bCs/>
      <w:sz w:val="18"/>
      <w:szCs w:val="24"/>
      <w:lang w:eastAsia="cs-CZ"/>
    </w:rPr>
  </w:style>
  <w:style w:type="character" w:styleId="Nadpis9Char" w:customStyle="1">
    <w:name w:val="Nadpis 9 Char"/>
    <w:basedOn w:val="DefaultParagraphFont"/>
    <w:qFormat/>
    <w:rsid w:val="0030317b"/>
    <w:rPr>
      <w:rFonts w:ascii="Times New Roman" w:hAnsi="Times New Roman" w:eastAsia="Times New Roman" w:cs="Times New Roman"/>
      <w:b/>
      <w:bCs/>
      <w:sz w:val="18"/>
      <w:szCs w:val="24"/>
      <w:lang w:eastAsia="cs-CZ"/>
    </w:rPr>
  </w:style>
  <w:style w:type="character" w:styleId="NzovChar" w:customStyle="1">
    <w:name w:val="Názov Char"/>
    <w:basedOn w:val="DefaultParagraphFont"/>
    <w:qFormat/>
    <w:rsid w:val="0030317b"/>
    <w:rPr>
      <w:rFonts w:ascii="Times New Roman" w:hAnsi="Times New Roman" w:eastAsia="Times New Roman" w:cs="Times New Roman"/>
      <w:b/>
      <w:bCs/>
      <w:sz w:val="24"/>
      <w:szCs w:val="24"/>
      <w:lang w:eastAsia="cs-CZ"/>
    </w:rPr>
  </w:style>
  <w:style w:type="character" w:styleId="Internetovodkaz">
    <w:name w:val="Hyperlink"/>
    <w:semiHidden/>
    <w:rsid w:val="0030317b"/>
    <w:rPr>
      <w:color w:val="0000FF"/>
      <w:u w:val="single"/>
    </w:rPr>
  </w:style>
  <w:style w:type="character" w:styleId="ZkladntextChar" w:customStyle="1">
    <w:name w:val="Základný text Char"/>
    <w:basedOn w:val="DefaultParagraphFont"/>
    <w:link w:val="Textbody"/>
    <w:semiHidden/>
    <w:qFormat/>
    <w:rsid w:val="0030317b"/>
    <w:rPr>
      <w:rFonts w:ascii="Times New Roman" w:hAnsi="Times New Roman" w:eastAsia="Times New Roman" w:cs="Times New Roman"/>
      <w:b/>
      <w:bCs/>
      <w:sz w:val="24"/>
      <w:szCs w:val="24"/>
      <w:lang w:eastAsia="cs-CZ"/>
    </w:rPr>
  </w:style>
  <w:style w:type="character" w:styleId="Zkladntext3Char" w:customStyle="1">
    <w:name w:val="Základný text 3 Char"/>
    <w:basedOn w:val="DefaultParagraphFont"/>
    <w:link w:val="BodyText3"/>
    <w:semiHidden/>
    <w:qFormat/>
    <w:rsid w:val="0030317b"/>
    <w:rPr>
      <w:rFonts w:ascii="Times New Roman" w:hAnsi="Times New Roman" w:eastAsia="Times New Roman" w:cs="Times New Roman"/>
      <w:sz w:val="24"/>
      <w:szCs w:val="24"/>
      <w:lang w:eastAsia="cs-CZ"/>
    </w:rPr>
  </w:style>
  <w:style w:type="character" w:styleId="Zkladntext2Char" w:customStyle="1">
    <w:name w:val="Základný text 2 Char"/>
    <w:basedOn w:val="DefaultParagraphFont"/>
    <w:link w:val="BodyText2"/>
    <w:semiHidden/>
    <w:qFormat/>
    <w:rsid w:val="0030317b"/>
    <w:rPr>
      <w:rFonts w:ascii="Times New Roman" w:hAnsi="Times New Roman" w:eastAsia="Times New Roman" w:cs="Times New Roman"/>
      <w:b/>
      <w:bCs/>
      <w:sz w:val="24"/>
      <w:szCs w:val="24"/>
      <w:lang w:val="cs-CZ" w:eastAsia="cs-CZ"/>
    </w:rPr>
  </w:style>
  <w:style w:type="character" w:styleId="TextbublinyChar" w:customStyle="1">
    <w:name w:val="Text bubliny Char"/>
    <w:basedOn w:val="DefaultParagraphFont"/>
    <w:link w:val="BalloonText"/>
    <w:uiPriority w:val="99"/>
    <w:semiHidden/>
    <w:qFormat/>
    <w:rsid w:val="0030317b"/>
    <w:rPr>
      <w:rFonts w:ascii="Tahoma" w:hAnsi="Tahoma" w:eastAsia="Times New Roman" w:cs="Tahoma"/>
      <w:sz w:val="16"/>
      <w:szCs w:val="16"/>
      <w:lang w:eastAsia="cs-CZ"/>
    </w:rPr>
  </w:style>
  <w:style w:type="character" w:styleId="PodtitulChar" w:customStyle="1">
    <w:name w:val="Podtitul Char"/>
    <w:basedOn w:val="DefaultParagraphFont"/>
    <w:uiPriority w:val="11"/>
    <w:qFormat/>
    <w:rsid w:val="0030317b"/>
    <w:rPr>
      <w:rFonts w:ascii="Cambria" w:hAnsi="Cambria" w:eastAsia="Times New Roman" w:cs="Times New Roman"/>
      <w:i/>
      <w:iCs/>
      <w:color w:val="4F81BD"/>
      <w:spacing w:val="15"/>
      <w:sz w:val="24"/>
      <w:szCs w:val="24"/>
    </w:rPr>
  </w:style>
  <w:style w:type="character" w:styleId="HlavikaChar" w:customStyle="1">
    <w:name w:val="Hlavička Char"/>
    <w:basedOn w:val="DefaultParagraphFont"/>
    <w:uiPriority w:val="99"/>
    <w:qFormat/>
    <w:rsid w:val="0030317b"/>
    <w:rPr>
      <w:rFonts w:ascii="Times New Roman" w:hAnsi="Times New Roman" w:eastAsia="Times New Roman" w:cs="Times New Roman"/>
      <w:sz w:val="24"/>
      <w:szCs w:val="24"/>
      <w:lang w:eastAsia="cs-CZ"/>
    </w:rPr>
  </w:style>
  <w:style w:type="character" w:styleId="PtaChar" w:customStyle="1">
    <w:name w:val="Päta Char"/>
    <w:basedOn w:val="DefaultParagraphFont"/>
    <w:uiPriority w:val="99"/>
    <w:qFormat/>
    <w:rsid w:val="0030317b"/>
    <w:rPr>
      <w:rFonts w:ascii="Times New Roman" w:hAnsi="Times New Roman" w:eastAsia="Times New Roman" w:cs="Times New Roman"/>
      <w:sz w:val="24"/>
      <w:szCs w:val="24"/>
      <w:lang w:eastAsia="cs-CZ"/>
    </w:rPr>
  </w:style>
  <w:style w:type="character" w:styleId="Strong">
    <w:name w:val="Strong"/>
    <w:basedOn w:val="DefaultParagraphFont"/>
    <w:uiPriority w:val="22"/>
    <w:qFormat/>
    <w:rsid w:val="0030317b"/>
    <w:rPr>
      <w:b/>
      <w:bCs/>
    </w:rPr>
  </w:style>
  <w:style w:type="character" w:styleId="MjtlChar" w:customStyle="1">
    <w:name w:val="Môj štýl Char"/>
    <w:basedOn w:val="DefaultParagraphFont"/>
    <w:link w:val="Mjtl"/>
    <w:qFormat/>
    <w:rsid w:val="0030317b"/>
    <w:rPr>
      <w:rFonts w:ascii="Times New Roman" w:hAnsi="Times New Roman"/>
      <w:sz w:val="24"/>
    </w:rPr>
  </w:style>
  <w:style w:type="character" w:styleId="SubtleEmphasis">
    <w:name w:val="Subtle Emphasis"/>
    <w:basedOn w:val="DefaultParagraphFont"/>
    <w:uiPriority w:val="19"/>
    <w:qFormat/>
    <w:rsid w:val="0030317b"/>
    <w:rPr>
      <w:i/>
      <w:iCs/>
      <w:color w:val="404040" w:themeColor="text1" w:themeTint="bf"/>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semiHidden/>
    <w:rsid w:val="0030317b"/>
    <w:pPr>
      <w:spacing w:lineRule="auto" w:line="240" w:before="0" w:after="0"/>
      <w:jc w:val="center"/>
    </w:pPr>
    <w:rPr>
      <w:rFonts w:ascii="Times New Roman" w:hAnsi="Times New Roman" w:eastAsia="Times New Roman" w:cs="Times New Roman"/>
      <w:b/>
      <w:bCs/>
      <w:sz w:val="24"/>
      <w:szCs w:val="24"/>
      <w:lang w:eastAsia="cs-CZ"/>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zov">
    <w:name w:val="Title"/>
    <w:basedOn w:val="Normal"/>
    <w:link w:val="NzovChar"/>
    <w:qFormat/>
    <w:rsid w:val="0030317b"/>
    <w:pPr>
      <w:spacing w:lineRule="auto" w:line="240" w:before="0" w:after="0"/>
      <w:jc w:val="center"/>
    </w:pPr>
    <w:rPr>
      <w:rFonts w:ascii="Times New Roman" w:hAnsi="Times New Roman" w:eastAsia="Times New Roman" w:cs="Times New Roman"/>
      <w:b/>
      <w:bCs/>
      <w:sz w:val="24"/>
      <w:szCs w:val="24"/>
      <w:lang w:eastAsia="cs-CZ"/>
    </w:rPr>
  </w:style>
  <w:style w:type="paragraph" w:styleId="BodyText3">
    <w:name w:val="Body Text 3"/>
    <w:basedOn w:val="Normal"/>
    <w:link w:val="Zkladntext3Char"/>
    <w:semiHidden/>
    <w:qFormat/>
    <w:rsid w:val="0030317b"/>
    <w:pPr>
      <w:spacing w:lineRule="auto" w:line="240" w:before="0" w:after="0"/>
      <w:jc w:val="both"/>
    </w:pPr>
    <w:rPr>
      <w:rFonts w:ascii="Times New Roman" w:hAnsi="Times New Roman" w:eastAsia="Times New Roman" w:cs="Times New Roman"/>
      <w:sz w:val="24"/>
      <w:szCs w:val="24"/>
      <w:lang w:eastAsia="cs-CZ"/>
    </w:rPr>
  </w:style>
  <w:style w:type="paragraph" w:styleId="BodyText2">
    <w:name w:val="Body Text 2"/>
    <w:basedOn w:val="Normal"/>
    <w:link w:val="Zkladntext2Char"/>
    <w:semiHidden/>
    <w:qFormat/>
    <w:rsid w:val="0030317b"/>
    <w:pPr>
      <w:spacing w:lineRule="auto" w:line="240" w:before="0" w:after="0"/>
      <w:jc w:val="both"/>
    </w:pPr>
    <w:rPr>
      <w:rFonts w:ascii="Times New Roman" w:hAnsi="Times New Roman" w:eastAsia="Times New Roman" w:cs="Times New Roman"/>
      <w:b/>
      <w:bCs/>
      <w:sz w:val="24"/>
      <w:szCs w:val="24"/>
      <w:lang w:val="cs-CZ" w:eastAsia="cs-CZ"/>
    </w:rPr>
  </w:style>
  <w:style w:type="paragraph" w:styleId="Caption">
    <w:name w:val="caption"/>
    <w:basedOn w:val="Normal"/>
    <w:next w:val="Normal"/>
    <w:qFormat/>
    <w:rsid w:val="0030317b"/>
    <w:pPr>
      <w:spacing w:lineRule="auto" w:line="240" w:before="0" w:after="0"/>
      <w:jc w:val="center"/>
    </w:pPr>
    <w:rPr>
      <w:rFonts w:ascii="Times New Roman" w:hAnsi="Times New Roman" w:eastAsia="Times New Roman" w:cs="Times New Roman"/>
      <w:b/>
      <w:bCs/>
      <w:sz w:val="24"/>
      <w:szCs w:val="24"/>
      <w:lang w:eastAsia="cs-CZ"/>
    </w:rPr>
  </w:style>
  <w:style w:type="paragraph" w:styleId="BalloonText">
    <w:name w:val="Balloon Text"/>
    <w:basedOn w:val="Normal"/>
    <w:link w:val="TextbublinyChar"/>
    <w:uiPriority w:val="99"/>
    <w:semiHidden/>
    <w:unhideWhenUsed/>
    <w:qFormat/>
    <w:rsid w:val="0030317b"/>
    <w:pPr>
      <w:spacing w:lineRule="auto" w:line="240" w:before="0" w:after="0"/>
    </w:pPr>
    <w:rPr>
      <w:rFonts w:ascii="Tahoma" w:hAnsi="Tahoma" w:eastAsia="Times New Roman" w:cs="Tahoma"/>
      <w:sz w:val="16"/>
      <w:szCs w:val="16"/>
      <w:lang w:eastAsia="cs-CZ"/>
    </w:rPr>
  </w:style>
  <w:style w:type="paragraph" w:styleId="Podnzov">
    <w:name w:val="Subtitle"/>
    <w:basedOn w:val="Normal"/>
    <w:next w:val="Normal"/>
    <w:link w:val="PodtitulChar"/>
    <w:uiPriority w:val="11"/>
    <w:qFormat/>
    <w:rsid w:val="0030317b"/>
    <w:pPr>
      <w:spacing w:lineRule="auto" w:line="240" w:before="0" w:after="0"/>
    </w:pPr>
    <w:rPr>
      <w:rFonts w:ascii="Cambria" w:hAnsi="Cambria" w:eastAsia="Times New Roman" w:cs="Times New Roman"/>
      <w:i/>
      <w:iCs/>
      <w:color w:val="4F81BD"/>
      <w:spacing w:val="15"/>
      <w:sz w:val="24"/>
      <w:szCs w:val="24"/>
    </w:rPr>
  </w:style>
  <w:style w:type="paragraph" w:styleId="Hlavikaapta">
    <w:name w:val="Hlavička a päta"/>
    <w:basedOn w:val="Normal"/>
    <w:qFormat/>
    <w:pPr/>
    <w:rPr/>
  </w:style>
  <w:style w:type="paragraph" w:styleId="Zhlavie">
    <w:name w:val="Header"/>
    <w:basedOn w:val="Normal"/>
    <w:link w:val="HlavikaChar"/>
    <w:uiPriority w:val="99"/>
    <w:unhideWhenUsed/>
    <w:rsid w:val="0030317b"/>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cs-CZ"/>
    </w:rPr>
  </w:style>
  <w:style w:type="paragraph" w:styleId="Pta">
    <w:name w:val="Footer"/>
    <w:basedOn w:val="Normal"/>
    <w:link w:val="PtaChar"/>
    <w:uiPriority w:val="99"/>
    <w:unhideWhenUsed/>
    <w:rsid w:val="0030317b"/>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30317b"/>
    <w:pPr>
      <w:spacing w:before="0" w:after="200"/>
      <w:ind w:left="720" w:hanging="0"/>
      <w:contextualSpacing/>
    </w:pPr>
    <w:rPr/>
  </w:style>
  <w:style w:type="paragraph" w:styleId="Default" w:customStyle="1">
    <w:name w:val="Default"/>
    <w:qFormat/>
    <w:rsid w:val="0030317b"/>
    <w:pPr>
      <w:widowControl/>
      <w:suppressAutoHyphens w:val="true"/>
      <w:bidi w:val="0"/>
      <w:spacing w:lineRule="auto" w:line="240" w:before="0" w:after="0"/>
      <w:jc w:val="left"/>
    </w:pPr>
    <w:rPr>
      <w:rFonts w:ascii="Times New Roman" w:hAnsi="Times New Roman" w:eastAsia="Arial" w:cs="Times New Roman"/>
      <w:color w:val="000000"/>
      <w:kern w:val="0"/>
      <w:sz w:val="24"/>
      <w:szCs w:val="24"/>
      <w:lang w:eastAsia="ar-SA" w:val="sk-SK" w:bidi="ar-SA"/>
    </w:rPr>
  </w:style>
  <w:style w:type="paragraph" w:styleId="NormalWeb">
    <w:name w:val="Normal (Web)"/>
    <w:basedOn w:val="Normal"/>
    <w:uiPriority w:val="99"/>
    <w:unhideWhenUsed/>
    <w:qFormat/>
    <w:rsid w:val="0030317b"/>
    <w:pPr/>
    <w:rPr>
      <w:rFonts w:ascii="Times New Roman" w:hAnsi="Times New Roman" w:cs="Times New Roman"/>
      <w:sz w:val="24"/>
      <w:szCs w:val="24"/>
    </w:rPr>
  </w:style>
  <w:style w:type="paragraph" w:styleId="Textbody" w:customStyle="1">
    <w:name w:val="Text body"/>
    <w:basedOn w:val="Normal"/>
    <w:qFormat/>
    <w:rsid w:val="0030317b"/>
    <w:pPr>
      <w:widowControl w:val="false"/>
      <w:suppressAutoHyphens w:val="true"/>
      <w:spacing w:lineRule="auto" w:line="240" w:before="0" w:after="120"/>
    </w:pPr>
    <w:rPr>
      <w:rFonts w:ascii="Times New Roman" w:hAnsi="Times New Roman" w:eastAsia="SimSun" w:cs="Mangal"/>
      <w:kern w:val="2"/>
      <w:sz w:val="24"/>
      <w:szCs w:val="24"/>
      <w:lang w:eastAsia="zh-CN" w:bidi="hi-IN"/>
    </w:rPr>
  </w:style>
  <w:style w:type="paragraph" w:styleId="Mjtl" w:customStyle="1">
    <w:name w:val="Môj štýl"/>
    <w:basedOn w:val="Normal"/>
    <w:link w:val="MjtlChar"/>
    <w:qFormat/>
    <w:rsid w:val="0030317b"/>
    <w:pPr>
      <w:spacing w:lineRule="auto" w:line="360" w:before="0" w:after="0"/>
      <w:contextualSpacing/>
      <w:jc w:val="both"/>
    </w:pPr>
    <w:rPr>
      <w:rFonts w:ascii="Times New Roman" w:hAnsi="Times New Roman"/>
      <w:sz w:val="24"/>
    </w:rPr>
  </w:style>
  <w:style w:type="paragraph" w:styleId="Obsahrmca">
    <w:name w:val="Obsah rámca"/>
    <w:basedOn w:val="Normal"/>
    <w:qFormat/>
    <w:pPr/>
    <w:rPr/>
  </w:style>
  <w:style w:type="numbering" w:styleId="NoList" w:default="1">
    <w:name w:val="No List"/>
    <w:uiPriority w:val="99"/>
    <w:semiHidden/>
    <w:unhideWhenUsed/>
    <w:qFormat/>
  </w:style>
  <w:style w:type="numbering" w:styleId="Bezzoznamu1" w:customStyle="1">
    <w:name w:val="Bez zoznamu1"/>
    <w:uiPriority w:val="99"/>
    <w:semiHidden/>
    <w:unhideWhenUsed/>
    <w:qFormat/>
    <w:rsid w:val="0030317b"/>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30317b"/>
    <w:pPr>
      <w:spacing w:after="0" w:line="240" w:lineRule="auto"/>
    </w:pPr>
    <w:rPr>
      <w:lang w:eastAsia="sk-SK"/>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1">
    <w:name w:val="Mriežka tabuľky1"/>
    <w:basedOn w:val="Normlnatabuka"/>
    <w:uiPriority w:val="59"/>
    <w:rsid w:val="003031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2">
    <w:name w:val="Mriežka tabuľky2"/>
    <w:basedOn w:val="Normlnatabuka"/>
    <w:uiPriority w:val="59"/>
    <w:rsid w:val="005808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3">
    <w:name w:val="Mriežka tabuľky3"/>
    <w:basedOn w:val="Normlnatabuka"/>
    <w:uiPriority w:val="59"/>
    <w:rsid w:val="00af22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dvinbargom.edupage.org/" TargetMode="External"/><Relationship Id="rId3" Type="http://schemas.openxmlformats.org/officeDocument/2006/relationships/hyperlink" Target="mailto:zspodvinbargom@gmail.com" TargetMode="External"/><Relationship Id="rId4" Type="http://schemas.openxmlformats.org/officeDocument/2006/relationships/hyperlink" Target="mailto:mspodvinbargom@gmail.com" TargetMode="External"/><Relationship Id="rId5" Type="http://schemas.openxmlformats.org/officeDocument/2006/relationships/hyperlink" Target="http://www.e-bardejov.sk/" TargetMode="External"/><Relationship Id="rId6" Type="http://schemas.openxmlformats.org/officeDocument/2006/relationships/hyperlink" Target="mailto:primator@bardejov.sk"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hyperlink" Target="https://www.minedu.sk/vyhodnotenie-vyzvy-enviroprojekt-2021/"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sk-SK" sz="1800" spc="-1" strike="noStrike">
                <a:solidFill>
                  <a:srgbClr val="000000"/>
                </a:solidFill>
                <a:latin typeface="Calibri"/>
              </a:defRPr>
            </a:pPr>
            <a:r>
              <a:rPr b="1" lang="sk-SK" sz="1800" spc="-1" strike="noStrike">
                <a:solidFill>
                  <a:srgbClr val="000000"/>
                </a:solidFill>
                <a:latin typeface="Calibri"/>
              </a:rPr>
              <a:t>Počet žiakov</a:t>
            </a:r>
          </a:p>
        </c:rich>
      </c:tx>
      <c:overlay val="0"/>
      <c:spPr>
        <a:noFill/>
        <a:ln w="0">
          <a:noFill/>
        </a:ln>
      </c:spPr>
    </c:title>
    <c:autoTitleDeleted val="0"/>
    <c:plotArea>
      <c:barChart>
        <c:barDir val="col"/>
        <c:grouping val="clustered"/>
        <c:varyColors val="0"/>
        <c:ser>
          <c:idx val="0"/>
          <c:order val="0"/>
          <c:tx>
            <c:strRef>
              <c:f>label 0</c:f>
              <c:strCache>
                <c:ptCount val="1"/>
                <c:pt idx="0">
                  <c:v>Počet</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8"/>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strCache>
            </c:strRef>
          </c:cat>
          <c:val>
            <c:numRef>
              <c:f>0</c:f>
              <c:numCache>
                <c:formatCode>General</c:formatCode>
                <c:ptCount val="18"/>
                <c:pt idx="0">
                  <c:v>816</c:v>
                </c:pt>
                <c:pt idx="1">
                  <c:v>724</c:v>
                </c:pt>
                <c:pt idx="2">
                  <c:v>688</c:v>
                </c:pt>
                <c:pt idx="3">
                  <c:v>642</c:v>
                </c:pt>
                <c:pt idx="4">
                  <c:v>615</c:v>
                </c:pt>
                <c:pt idx="5">
                  <c:v>612</c:v>
                </c:pt>
                <c:pt idx="6">
                  <c:v>599</c:v>
                </c:pt>
                <c:pt idx="7">
                  <c:v>590</c:v>
                </c:pt>
                <c:pt idx="8">
                  <c:v>579</c:v>
                </c:pt>
                <c:pt idx="9">
                  <c:v>585</c:v>
                </c:pt>
                <c:pt idx="10">
                  <c:v>604</c:v>
                </c:pt>
                <c:pt idx="11">
                  <c:v>596</c:v>
                </c:pt>
                <c:pt idx="12">
                  <c:v>601</c:v>
                </c:pt>
                <c:pt idx="13">
                  <c:v>601</c:v>
                </c:pt>
                <c:pt idx="14">
                  <c:v>613</c:v>
                </c:pt>
                <c:pt idx="15">
                  <c:v>625</c:v>
                </c:pt>
                <c:pt idx="16">
                  <c:v>624</c:v>
                </c:pt>
                <c:pt idx="17">
                  <c:v>622</c:v>
                </c:pt>
              </c:numCache>
            </c:numRef>
          </c:val>
        </c:ser>
        <c:gapWidth val="150"/>
        <c:overlap val="0"/>
        <c:axId val="17833604"/>
        <c:axId val="20646997"/>
      </c:barChart>
      <c:catAx>
        <c:axId val="17833604"/>
        <c:scaling>
          <c:orientation val="minMax"/>
        </c:scaling>
        <c:delete val="0"/>
        <c:axPos val="b"/>
        <c:numFmt formatCode="[$-41B]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0646997"/>
        <c:crosses val="autoZero"/>
        <c:auto val="1"/>
        <c:lblAlgn val="ctr"/>
        <c:lblOffset val="100"/>
        <c:noMultiLvlLbl val="0"/>
      </c:catAx>
      <c:valAx>
        <c:axId val="2064699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7833604"/>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sk-SK" sz="1800" spc="-1" strike="noStrike">
                <a:solidFill>
                  <a:srgbClr val="000000"/>
                </a:solidFill>
                <a:latin typeface="Calibri"/>
              </a:defRPr>
            </a:pPr>
            <a:r>
              <a:rPr b="1" lang="sk-SK" sz="1800" spc="-1" strike="noStrike">
                <a:solidFill>
                  <a:srgbClr val="000000"/>
                </a:solidFill>
                <a:latin typeface="Calibri"/>
              </a:rPr>
              <a:t>žiaci v ŠKD</a:t>
            </a:r>
          </a:p>
        </c:rich>
      </c:tx>
      <c:overlay val="0"/>
      <c:spPr>
        <a:noFill/>
        <a:ln w="0">
          <a:noFill/>
        </a:ln>
      </c:spPr>
    </c:title>
    <c:autoTitleDeleted val="0"/>
    <c:plotArea>
      <c:barChart>
        <c:barDir val="col"/>
        <c:grouping val="clustered"/>
        <c:varyColors val="0"/>
        <c:ser>
          <c:idx val="0"/>
          <c:order val="0"/>
          <c:tx>
            <c:strRef>
              <c:f>label 0</c:f>
              <c:strCache>
                <c:ptCount val="1"/>
                <c:pt idx="0">
                  <c:v>žiaci</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8"/>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strCache>
            </c:strRef>
          </c:cat>
          <c:val>
            <c:numRef>
              <c:f>0</c:f>
              <c:numCache>
                <c:formatCode>General</c:formatCode>
                <c:ptCount val="18"/>
                <c:pt idx="0">
                  <c:v>130</c:v>
                </c:pt>
                <c:pt idx="1">
                  <c:v>145</c:v>
                </c:pt>
                <c:pt idx="2">
                  <c:v>146</c:v>
                </c:pt>
                <c:pt idx="3">
                  <c:v>145</c:v>
                </c:pt>
                <c:pt idx="4">
                  <c:v>139</c:v>
                </c:pt>
                <c:pt idx="5">
                  <c:v>139</c:v>
                </c:pt>
                <c:pt idx="6">
                  <c:v>149</c:v>
                </c:pt>
                <c:pt idx="7">
                  <c:v>175</c:v>
                </c:pt>
                <c:pt idx="8">
                  <c:v>150</c:v>
                </c:pt>
                <c:pt idx="9">
                  <c:v>180</c:v>
                </c:pt>
                <c:pt idx="10">
                  <c:v>180</c:v>
                </c:pt>
                <c:pt idx="11">
                  <c:v>190</c:v>
                </c:pt>
                <c:pt idx="12">
                  <c:v>180</c:v>
                </c:pt>
                <c:pt idx="13">
                  <c:v>202</c:v>
                </c:pt>
                <c:pt idx="14">
                  <c:v>201</c:v>
                </c:pt>
                <c:pt idx="15">
                  <c:v>204</c:v>
                </c:pt>
                <c:pt idx="16">
                  <c:v>201</c:v>
                </c:pt>
                <c:pt idx="17">
                  <c:v>226</c:v>
                </c:pt>
              </c:numCache>
            </c:numRef>
          </c:val>
        </c:ser>
        <c:gapWidth val="150"/>
        <c:overlap val="0"/>
        <c:axId val="38666992"/>
        <c:axId val="77003739"/>
      </c:barChart>
      <c:catAx>
        <c:axId val="38666992"/>
        <c:scaling>
          <c:orientation val="minMax"/>
        </c:scaling>
        <c:delete val="0"/>
        <c:axPos val="b"/>
        <c:numFmt formatCode="[$-41B]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7003739"/>
        <c:crosses val="autoZero"/>
        <c:auto val="1"/>
        <c:lblAlgn val="ctr"/>
        <c:lblOffset val="100"/>
        <c:noMultiLvlLbl val="0"/>
      </c:catAx>
      <c:valAx>
        <c:axId val="7700373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8666992"/>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B220-CDB7-4DC3-A167-E3327A1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LibreOffice/7.4.1.2$Windows_X86_64 LibreOffice_project/3c58a8f3a960df8bc8fd77b461821e42c061c5f0</Application>
  <AppVersion>15.0000</AppVersion>
  <Pages>32</Pages>
  <Words>9137</Words>
  <Characters>51918</Characters>
  <CharactersWithSpaces>60181</CharactersWithSpaces>
  <Paragraphs>2005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2023-09-18T06:40:00Z</dcterms:created>
  <dc:creator>Lenovo</dc:creator>
  <dc:description/>
  <dc:language>sk-SK</dc:language>
  <cp:lastModifiedBy/>
  <dcterms:modified xsi:type="dcterms:W3CDTF">2023-10-13T11:16:17Z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